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120"/>
        <w:jc w:val="center"/>
        <w:rPr>
          <w:rFonts w:hint="eastAsia" w:ascii="方正小标宋简体" w:hAnsi="方正小标宋简体" w:eastAsia="方正小标宋简体" w:cs="方正小标宋简体"/>
          <w:spacing w:val="23"/>
          <w:sz w:val="44"/>
          <w:szCs w:val="44"/>
        </w:rPr>
      </w:pPr>
      <w:r>
        <w:rPr>
          <w:rFonts w:hint="eastAsia" w:ascii="方正小标宋简体" w:hAnsi="方正小标宋简体" w:eastAsia="方正小标宋简体" w:cs="方正小标宋简体"/>
          <w:spacing w:val="23"/>
          <w:sz w:val="44"/>
          <w:szCs w:val="44"/>
        </w:rPr>
        <w:t>河南省豫剧保护传承发展条例</w:t>
      </w:r>
    </w:p>
    <w:p>
      <w:pPr>
        <w:spacing w:after="120"/>
        <w:jc w:val="center"/>
        <w:rPr>
          <w:rFonts w:hint="eastAsia" w:ascii="方正小标宋简体" w:hAnsi="方正小标宋简体" w:eastAsia="方正小标宋简体" w:cs="方正小标宋简体"/>
          <w:spacing w:val="23"/>
          <w:sz w:val="44"/>
          <w:szCs w:val="44"/>
          <w:lang w:eastAsia="zh-CN"/>
        </w:rPr>
      </w:pPr>
      <w:r>
        <w:rPr>
          <w:rFonts w:hint="eastAsia" w:ascii="方正小标宋简体" w:hAnsi="方正小标宋简体" w:eastAsia="方正小标宋简体" w:cs="方正小标宋简体"/>
          <w:spacing w:val="23"/>
          <w:sz w:val="44"/>
          <w:szCs w:val="44"/>
          <w:lang w:eastAsia="zh-CN"/>
        </w:rPr>
        <w:t>（草案）</w:t>
      </w:r>
      <w:bookmarkStart w:id="0" w:name="_GoBack"/>
      <w:bookmarkEnd w:id="0"/>
    </w:p>
    <w:p>
      <w:pPr>
        <w:widowControl/>
        <w:autoSpaceDE w:val="0"/>
        <w:autoSpaceDN w:val="0"/>
        <w:adjustRightInd w:val="0"/>
        <w:snapToGrid w:val="0"/>
        <w:spacing w:after="156" w:afterLines="50" w:line="360" w:lineRule="auto"/>
        <w:ind w:right="91" w:firstLine="584"/>
        <w:jc w:val="center"/>
        <w:textAlignment w:val="baseline"/>
        <w:rPr>
          <w:rFonts w:ascii="黑体" w:hAnsi="黑体" w:eastAsia="黑体" w:cs="黑体"/>
          <w:bCs/>
          <w:sz w:val="32"/>
          <w:szCs w:val="32"/>
        </w:rPr>
      </w:pPr>
      <w:r>
        <w:rPr>
          <w:rFonts w:hint="eastAsia" w:ascii="黑体" w:hAnsi="黑体" w:eastAsia="黑体" w:cs="黑体"/>
          <w:bCs/>
          <w:sz w:val="32"/>
          <w:szCs w:val="32"/>
        </w:rPr>
        <w:t>目  录</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第一章  总  则</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第二章  保护传承</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第三章  人才培养</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第四章  创新发展</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第五章  保障措施</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第六章  附  则</w:t>
      </w:r>
    </w:p>
    <w:p>
      <w:pPr>
        <w:spacing w:line="560" w:lineRule="exact"/>
        <w:rPr>
          <w:rFonts w:ascii="黑体" w:hAnsi="黑体" w:eastAsia="黑体" w:cs="CESI楷体-GB2312"/>
          <w:sz w:val="32"/>
          <w:szCs w:val="32"/>
        </w:rPr>
      </w:pPr>
    </w:p>
    <w:p>
      <w:pPr>
        <w:spacing w:line="560" w:lineRule="exact"/>
        <w:rPr>
          <w:rFonts w:ascii="黑体" w:hAnsi="黑体" w:eastAsia="黑体" w:cs="CESI楷体-GB2312"/>
          <w:sz w:val="32"/>
          <w:szCs w:val="32"/>
        </w:rPr>
      </w:pPr>
    </w:p>
    <w:p>
      <w:pPr>
        <w:widowControl/>
        <w:numPr>
          <w:ilvl w:val="0"/>
          <w:numId w:val="1"/>
        </w:numPr>
        <w:autoSpaceDE w:val="0"/>
        <w:autoSpaceDN w:val="0"/>
        <w:adjustRightInd w:val="0"/>
        <w:snapToGrid w:val="0"/>
        <w:spacing w:after="156" w:afterLines="50" w:line="360" w:lineRule="auto"/>
        <w:ind w:right="91" w:firstLine="584"/>
        <w:jc w:val="center"/>
        <w:textAlignment w:val="baseline"/>
        <w:rPr>
          <w:rFonts w:ascii="黑体" w:hAnsi="黑体" w:eastAsia="黑体" w:cs="黑体"/>
          <w:bCs/>
          <w:sz w:val="32"/>
          <w:szCs w:val="32"/>
        </w:rPr>
      </w:pPr>
      <w:r>
        <w:rPr>
          <w:rFonts w:hint="eastAsia" w:ascii="黑体" w:hAnsi="黑体" w:eastAsia="黑体" w:cs="CESI楷体-GB2312"/>
          <w:bCs/>
          <w:sz w:val="32"/>
          <w:szCs w:val="32"/>
        </w:rPr>
        <w:t xml:space="preserve"> </w:t>
      </w:r>
      <w:r>
        <w:rPr>
          <w:rFonts w:hint="eastAsia" w:ascii="黑体" w:hAnsi="黑体" w:eastAsia="黑体" w:cs="CESI楷体-GB2312"/>
          <w:bCs/>
          <w:sz w:val="32"/>
          <w:szCs w:val="32"/>
          <w:lang w:eastAsia="en-US"/>
        </w:rPr>
        <w:t>总</w:t>
      </w:r>
      <w:r>
        <w:rPr>
          <w:rFonts w:hint="eastAsia" w:ascii="黑体" w:hAnsi="黑体" w:eastAsia="黑体" w:cs="CESI楷体-GB2312"/>
          <w:bCs/>
          <w:sz w:val="32"/>
          <w:szCs w:val="32"/>
        </w:rPr>
        <w:t xml:space="preserve">  </w:t>
      </w:r>
      <w:r>
        <w:rPr>
          <w:rFonts w:hint="eastAsia" w:ascii="黑体" w:hAnsi="黑体" w:eastAsia="黑体" w:cs="CESI楷体-GB2312"/>
          <w:bCs/>
          <w:sz w:val="32"/>
          <w:szCs w:val="32"/>
          <w:lang w:eastAsia="en-US"/>
        </w:rPr>
        <w:t>则</w:t>
      </w:r>
    </w:p>
    <w:p>
      <w:pPr>
        <w:widowControl/>
        <w:autoSpaceDE w:val="0"/>
        <w:autoSpaceDN w:val="0"/>
        <w:adjustRightInd w:val="0"/>
        <w:snapToGrid w:val="0"/>
        <w:spacing w:line="360" w:lineRule="auto"/>
        <w:ind w:firstLine="676" w:firstLineChars="200"/>
        <w:textAlignment w:val="baseline"/>
        <w:rPr>
          <w:rFonts w:ascii="仿宋_GB2312" w:hAnsi="仿宋_GB2312" w:eastAsia="仿宋_GB2312" w:cs="仿宋_GB2312"/>
          <w:snapToGrid w:val="0"/>
          <w:spacing w:val="9"/>
          <w:kern w:val="0"/>
          <w:sz w:val="30"/>
          <w:szCs w:val="30"/>
        </w:rPr>
      </w:pPr>
      <w:r>
        <w:rPr>
          <w:rFonts w:hint="eastAsia" w:ascii="仿宋_GB2312" w:hAnsi="仿宋_GB2312" w:eastAsia="仿宋_GB2312" w:cs="仿宋_GB2312"/>
          <w:snapToGrid w:val="0"/>
          <w:spacing w:val="9"/>
          <w:kern w:val="0"/>
          <w:sz w:val="32"/>
          <w:szCs w:val="32"/>
        </w:rPr>
        <w:t>第一条  为</w:t>
      </w:r>
      <w:r>
        <w:rPr>
          <w:rFonts w:hint="eastAsia" w:ascii="仿宋_GB2312" w:hAnsi="仿宋_GB2312" w:eastAsia="仿宋_GB2312" w:cs="仿宋_GB2312"/>
          <w:sz w:val="32"/>
          <w:szCs w:val="32"/>
        </w:rPr>
        <w:t>保护传承发展豫剧，根据《中华人民共和国非物质文化遗产法》等法律、行政法规，结合本省实际，制定本条例。</w:t>
      </w:r>
    </w:p>
    <w:p>
      <w:pPr>
        <w:widowControl/>
        <w:autoSpaceDE w:val="0"/>
        <w:autoSpaceDN w:val="0"/>
        <w:adjustRightInd w:val="0"/>
        <w:snapToGrid w:val="0"/>
        <w:spacing w:line="360" w:lineRule="auto"/>
        <w:ind w:firstLine="676" w:firstLineChars="200"/>
        <w:textAlignment w:val="baseline"/>
        <w:rPr>
          <w:rFonts w:ascii="仿宋_GB2312" w:hAnsi="仿宋_GB2312" w:eastAsia="仿宋_GB2312" w:cs="仿宋_GB2312"/>
          <w:snapToGrid w:val="0"/>
          <w:spacing w:val="9"/>
          <w:kern w:val="0"/>
          <w:sz w:val="30"/>
          <w:szCs w:val="30"/>
        </w:rPr>
      </w:pPr>
      <w:r>
        <w:rPr>
          <w:rFonts w:hint="eastAsia" w:ascii="仿宋_GB2312" w:hAnsi="仿宋_GB2312" w:eastAsia="仿宋_GB2312" w:cs="仿宋_GB2312"/>
          <w:snapToGrid w:val="0"/>
          <w:spacing w:val="9"/>
          <w:kern w:val="0"/>
          <w:sz w:val="32"/>
          <w:szCs w:val="32"/>
        </w:rPr>
        <w:t xml:space="preserve">第二条  </w:t>
      </w:r>
      <w:r>
        <w:rPr>
          <w:rFonts w:hint="eastAsia" w:ascii="仿宋_GB2312" w:hAnsi="仿宋_GB2312" w:eastAsia="仿宋_GB2312" w:cs="仿宋_GB2312"/>
          <w:sz w:val="32"/>
          <w:szCs w:val="32"/>
        </w:rPr>
        <w:t>本省行政区域内豫剧的保护传承、创新发展、传播交流等适用本条例。</w:t>
      </w:r>
    </w:p>
    <w:p>
      <w:pPr>
        <w:widowControl/>
        <w:autoSpaceDE w:val="0"/>
        <w:autoSpaceDN w:val="0"/>
        <w:adjustRightInd w:val="0"/>
        <w:snapToGrid w:val="0"/>
        <w:spacing w:line="360" w:lineRule="auto"/>
        <w:ind w:firstLine="676" w:firstLineChars="200"/>
        <w:textAlignment w:val="baseline"/>
        <w:rPr>
          <w:rFonts w:ascii="仿宋_GB2312" w:hAnsi="仿宋_GB2312" w:eastAsia="仿宋_GB2312" w:cs="仿宋_GB2312"/>
          <w:sz w:val="32"/>
          <w:szCs w:val="32"/>
        </w:rPr>
      </w:pPr>
      <w:r>
        <w:rPr>
          <w:rFonts w:hint="eastAsia" w:ascii="仿宋_GB2312" w:hAnsi="仿宋_GB2312" w:eastAsia="仿宋_GB2312" w:cs="仿宋_GB2312"/>
          <w:snapToGrid w:val="0"/>
          <w:spacing w:val="9"/>
          <w:kern w:val="0"/>
          <w:sz w:val="32"/>
          <w:szCs w:val="32"/>
        </w:rPr>
        <w:t xml:space="preserve">第三条  </w:t>
      </w:r>
      <w:r>
        <w:rPr>
          <w:rFonts w:hint="eastAsia" w:ascii="仿宋_GB2312" w:hAnsi="仿宋_GB2312" w:eastAsia="仿宋_GB2312" w:cs="仿宋_GB2312"/>
          <w:sz w:val="32"/>
          <w:szCs w:val="32"/>
        </w:rPr>
        <w:t>豫剧的保护传承发展，坚持中国共产党的领导，坚持以人民为中心，坚持百花齐放、百家争鸣的方针，坚持为人民服务、为社会主义服务的根本方向，坚持以社会主义核心价值观为引领，坚持守正创新，坚持政府主导、部门负责、社会参与的原则，立足国际国内演出市场，贯彻保护为主、抢救第一、合理利用、传承发展的方针。</w:t>
      </w:r>
    </w:p>
    <w:p>
      <w:pPr>
        <w:widowControl/>
        <w:autoSpaceDE w:val="0"/>
        <w:autoSpaceDN w:val="0"/>
        <w:adjustRightInd w:val="0"/>
        <w:snapToGrid w:val="0"/>
        <w:spacing w:line="360" w:lineRule="auto"/>
        <w:ind w:firstLine="640" w:firstLineChars="200"/>
        <w:textAlignment w:val="baseline"/>
        <w:rPr>
          <w:rFonts w:ascii="仿宋_GB2312" w:hAnsi="仿宋_GB2312" w:eastAsia="仿宋_GB2312" w:cs="仿宋_GB2312"/>
          <w:sz w:val="32"/>
          <w:szCs w:val="32"/>
        </w:rPr>
      </w:pPr>
      <w:r>
        <w:rPr>
          <w:rFonts w:hint="eastAsia" w:ascii="仿宋_GB2312" w:hAnsi="仿宋_GB2312" w:eastAsia="仿宋_GB2312" w:cs="仿宋_GB2312"/>
          <w:sz w:val="32"/>
          <w:szCs w:val="32"/>
        </w:rPr>
        <w:t>第四条  省和豫剧流布的市、县(市、区)(以下称相关市、县(市、区))人民政府应当加强对豫剧保护传承发展工作的组织领导，建立健全豫剧保护传承发展工作协调机制，研究解决豫剧保护传承发展中的重大事项，将豫剧保护传承发展纳入本级国民经济和社会发展规划。</w:t>
      </w:r>
    </w:p>
    <w:p>
      <w:pPr>
        <w:widowControl/>
        <w:autoSpaceDE w:val="0"/>
        <w:autoSpaceDN w:val="0"/>
        <w:adjustRightInd w:val="0"/>
        <w:snapToGrid w:val="0"/>
        <w:spacing w:line="360" w:lineRule="auto"/>
        <w:ind w:firstLine="640" w:firstLineChars="200"/>
        <w:textAlignment w:val="baseline"/>
        <w:rPr>
          <w:rFonts w:ascii="仿宋_GB2312" w:hAnsi="仿宋_GB2312" w:eastAsia="仿宋_GB2312" w:cs="仿宋_GB2312"/>
          <w:sz w:val="32"/>
          <w:szCs w:val="32"/>
        </w:rPr>
      </w:pPr>
      <w:r>
        <w:rPr>
          <w:rFonts w:hint="eastAsia" w:ascii="仿宋_GB2312" w:hAnsi="仿宋_GB2312" w:eastAsia="仿宋_GB2312" w:cs="仿宋_GB2312"/>
          <w:sz w:val="32"/>
          <w:szCs w:val="32"/>
        </w:rPr>
        <w:t>省人民政府应当制定豫剧保护传承发展中长期规划，研究解决豫剧艺术保护传承发展中的</w:t>
      </w:r>
      <w:r>
        <w:rPr>
          <w:rFonts w:hint="eastAsia" w:ascii="仿宋_GB2312" w:hAnsi="仿宋_GB2312" w:eastAsia="仿宋_GB2312" w:cs="仿宋_GB2312"/>
          <w:color w:val="FF0000"/>
          <w:sz w:val="32"/>
          <w:szCs w:val="32"/>
        </w:rPr>
        <w:t>体制机制、人员编制、人才培养、重点项目、经费保障</w:t>
      </w:r>
      <w:r>
        <w:rPr>
          <w:rFonts w:hint="eastAsia" w:ascii="仿宋_GB2312" w:hAnsi="仿宋_GB2312" w:eastAsia="仿宋_GB2312" w:cs="仿宋_GB2312"/>
          <w:sz w:val="32"/>
          <w:szCs w:val="32"/>
        </w:rPr>
        <w:t>等重大问题。相关市人民政府应当按照豫剧保护传承发展中长期规划，结合本地实际制定实施方案。</w:t>
      </w:r>
    </w:p>
    <w:p>
      <w:pPr>
        <w:widowControl/>
        <w:autoSpaceDE w:val="0"/>
        <w:autoSpaceDN w:val="0"/>
        <w:adjustRightInd w:val="0"/>
        <w:snapToGrid w:val="0"/>
        <w:spacing w:line="360" w:lineRule="auto"/>
        <w:ind w:firstLine="640" w:firstLineChars="200"/>
        <w:textAlignment w:val="baseline"/>
        <w:rPr>
          <w:rFonts w:ascii="仿宋_GB2312" w:hAnsi="仿宋_GB2312" w:eastAsia="仿宋_GB2312" w:cs="仿宋_GB2312"/>
          <w:sz w:val="32"/>
          <w:szCs w:val="32"/>
        </w:rPr>
      </w:pPr>
      <w:r>
        <w:rPr>
          <w:rFonts w:hint="eastAsia" w:ascii="仿宋_GB2312" w:hAnsi="仿宋_GB2312" w:eastAsia="仿宋_GB2312" w:cs="仿宋_GB2312"/>
          <w:sz w:val="32"/>
          <w:szCs w:val="32"/>
        </w:rPr>
        <w:t>县(市、区)人民政府应当做好实施方案的组织实施工作，其所辖的乡(镇)人民政府、街道办事处应当协助做好豫剧保护传承发展相关工作。</w:t>
      </w:r>
    </w:p>
    <w:p>
      <w:pPr>
        <w:widowControl/>
        <w:autoSpaceDE w:val="0"/>
        <w:autoSpaceDN w:val="0"/>
        <w:adjustRightInd w:val="0"/>
        <w:snapToGrid w:val="0"/>
        <w:spacing w:line="360" w:lineRule="auto"/>
        <w:ind w:firstLine="676" w:firstLineChars="200"/>
        <w:textAlignment w:val="baseline"/>
        <w:rPr>
          <w:rFonts w:ascii="仿宋_GB2312" w:hAnsi="仿宋_GB2312" w:eastAsia="仿宋_GB2312" w:cs="仿宋_GB2312"/>
          <w:sz w:val="32"/>
          <w:szCs w:val="32"/>
        </w:rPr>
      </w:pPr>
      <w:r>
        <w:rPr>
          <w:rFonts w:hint="eastAsia" w:ascii="仿宋_GB2312" w:hAnsi="仿宋_GB2312" w:eastAsia="仿宋_GB2312" w:cs="仿宋_GB2312"/>
          <w:snapToGrid w:val="0"/>
          <w:spacing w:val="9"/>
          <w:kern w:val="0"/>
          <w:sz w:val="32"/>
          <w:szCs w:val="32"/>
        </w:rPr>
        <w:t xml:space="preserve">第五条  </w:t>
      </w:r>
      <w:r>
        <w:rPr>
          <w:rFonts w:hint="eastAsia" w:ascii="仿宋_GB2312" w:hAnsi="仿宋_GB2312" w:eastAsia="仿宋_GB2312" w:cs="仿宋_GB2312"/>
          <w:sz w:val="32"/>
          <w:szCs w:val="32"/>
        </w:rPr>
        <w:t>省和相关市、县(市、区)人民政府文化和旅游主管部门负责本行政区域内豫剧保护和发展工作。</w:t>
      </w:r>
    </w:p>
    <w:p>
      <w:pPr>
        <w:widowControl/>
        <w:autoSpaceDE w:val="0"/>
        <w:autoSpaceDN w:val="0"/>
        <w:adjustRightInd w:val="0"/>
        <w:snapToGrid w:val="0"/>
        <w:spacing w:line="360" w:lineRule="auto"/>
        <w:ind w:firstLine="640" w:firstLineChars="200"/>
        <w:textAlignment w:val="baseline"/>
        <w:rPr>
          <w:rFonts w:ascii="仿宋_GB2312" w:hAnsi="仿宋_GB2312" w:eastAsia="仿宋_GB2312" w:cs="仿宋_GB2312"/>
          <w:sz w:val="32"/>
          <w:szCs w:val="32"/>
        </w:rPr>
      </w:pPr>
      <w:r>
        <w:rPr>
          <w:rFonts w:hint="eastAsia" w:ascii="仿宋_GB2312" w:hAnsi="仿宋_GB2312" w:eastAsia="仿宋_GB2312" w:cs="仿宋_GB2312"/>
          <w:sz w:val="32"/>
          <w:szCs w:val="32"/>
        </w:rPr>
        <w:t>发展改革、教育、科技、财政、人力资源社会保障、商务、广播电视、新闻出版、地方志、文物、知识产权、数据等有关主管部门在各自职责范围内，做好豫剧保护传承发展工作。</w:t>
      </w:r>
    </w:p>
    <w:p>
      <w:pPr>
        <w:widowControl/>
        <w:ind w:firstLine="676" w:firstLineChars="200"/>
        <w:jc w:val="left"/>
        <w:rPr>
          <w:rFonts w:ascii="仿宋_GB2312" w:hAnsi="仿宋_GB2312" w:eastAsia="仿宋_GB2312" w:cs="仿宋_GB2312"/>
          <w:sz w:val="32"/>
          <w:szCs w:val="32"/>
        </w:rPr>
      </w:pPr>
      <w:r>
        <w:rPr>
          <w:rFonts w:hint="eastAsia" w:ascii="仿宋_GB2312" w:hAnsi="仿宋_GB2312" w:eastAsia="仿宋_GB2312" w:cs="仿宋_GB2312"/>
          <w:snapToGrid w:val="0"/>
          <w:spacing w:val="9"/>
          <w:kern w:val="0"/>
          <w:sz w:val="32"/>
          <w:szCs w:val="32"/>
        </w:rPr>
        <w:t xml:space="preserve">第六条 </w:t>
      </w:r>
      <w:r>
        <w:rPr>
          <w:rFonts w:hint="eastAsia" w:ascii="仿宋_GB2312" w:hAnsi="仿宋_GB2312" w:eastAsia="仿宋_GB2312" w:cs="仿宋_GB2312"/>
          <w:sz w:val="32"/>
          <w:szCs w:val="32"/>
        </w:rPr>
        <w:t xml:space="preserve"> 省和相关市、县(市、区)人民政府应当将豫剧保护传承发展所需经费列入本级财政预算，统筹安排资金支持豫剧剧目创作、惠民演出、赛事展演、资源调查、人才培养、理论研究、艺术创新、传播推广、交流合作等项目。加强豫剧院（场）建设，配套排练、展示、舞美设施设备存放等场所馆建设。</w:t>
      </w:r>
    </w:p>
    <w:p>
      <w:pPr>
        <w:widowControl/>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鼓励国家机关、企业事业单位、社会团体等免费或者优惠为豫剧文艺院团开展演出活动提供场地支持。</w:t>
      </w:r>
    </w:p>
    <w:p>
      <w:pPr>
        <w:widowControl/>
        <w:autoSpaceDE w:val="0"/>
        <w:autoSpaceDN w:val="0"/>
        <w:adjustRightInd w:val="0"/>
        <w:snapToGrid w:val="0"/>
        <w:spacing w:line="360" w:lineRule="auto"/>
        <w:ind w:firstLine="640" w:firstLineChars="200"/>
        <w:textAlignment w:val="baseline"/>
        <w:rPr>
          <w:rFonts w:ascii="仿宋_GB2312" w:hAnsi="仿宋_GB2312" w:eastAsia="仿宋_GB2312" w:cs="仿宋_GB2312"/>
          <w:sz w:val="32"/>
          <w:szCs w:val="32"/>
        </w:rPr>
      </w:pPr>
      <w:r>
        <w:rPr>
          <w:rFonts w:hint="eastAsia" w:ascii="仿宋_GB2312" w:hAnsi="仿宋_GB2312" w:eastAsia="仿宋_GB2312" w:cs="仿宋_GB2312"/>
          <w:sz w:val="32"/>
          <w:szCs w:val="32"/>
        </w:rPr>
        <w:t>鼓励、引导社会资本参与豫剧保护传承发展工作。</w:t>
      </w:r>
    </w:p>
    <w:p>
      <w:pPr>
        <w:widowControl/>
        <w:autoSpaceDE w:val="0"/>
        <w:autoSpaceDN w:val="0"/>
        <w:adjustRightInd w:val="0"/>
        <w:snapToGrid w:val="0"/>
        <w:spacing w:line="360" w:lineRule="auto"/>
        <w:ind w:firstLine="676" w:firstLineChars="200"/>
        <w:textAlignment w:val="baseline"/>
        <w:rPr>
          <w:rFonts w:ascii="仿宋_GB2312" w:hAnsi="仿宋_GB2312" w:eastAsia="仿宋_GB2312" w:cs="仿宋_GB2312"/>
          <w:sz w:val="32"/>
          <w:szCs w:val="32"/>
        </w:rPr>
      </w:pPr>
      <w:r>
        <w:rPr>
          <w:rFonts w:hint="eastAsia" w:ascii="仿宋_GB2312" w:hAnsi="仿宋_GB2312" w:eastAsia="仿宋_GB2312" w:cs="仿宋_GB2312"/>
          <w:snapToGrid w:val="0"/>
          <w:spacing w:val="9"/>
          <w:kern w:val="0"/>
          <w:sz w:val="32"/>
          <w:szCs w:val="32"/>
        </w:rPr>
        <w:t xml:space="preserve">第七条  </w:t>
      </w:r>
      <w:r>
        <w:rPr>
          <w:rFonts w:hint="eastAsia" w:ascii="仿宋_GB2312" w:hAnsi="仿宋_GB2312" w:eastAsia="仿宋_GB2312" w:cs="仿宋_GB2312"/>
          <w:sz w:val="32"/>
          <w:szCs w:val="32"/>
        </w:rPr>
        <w:t>省和相关市、县(市、区)应当加强对豫剧艺术表演团体的人员保障。培育发展重点豫剧艺术表演团体，支持基层和民营豫剧艺术表演团体发展。</w:t>
      </w:r>
    </w:p>
    <w:p>
      <w:pPr>
        <w:widowControl/>
        <w:autoSpaceDE w:val="0"/>
        <w:autoSpaceDN w:val="0"/>
        <w:adjustRightInd w:val="0"/>
        <w:snapToGrid w:val="0"/>
        <w:spacing w:line="360" w:lineRule="auto"/>
        <w:ind w:firstLine="676" w:firstLineChars="200"/>
        <w:textAlignment w:val="baseline"/>
        <w:rPr>
          <w:rFonts w:ascii="仿宋_GB2312" w:hAnsi="仿宋_GB2312" w:eastAsia="仿宋_GB2312" w:cs="仿宋_GB2312"/>
          <w:sz w:val="32"/>
          <w:szCs w:val="32"/>
        </w:rPr>
      </w:pPr>
      <w:r>
        <w:rPr>
          <w:rFonts w:hint="eastAsia" w:ascii="仿宋_GB2312" w:hAnsi="仿宋_GB2312" w:eastAsia="仿宋_GB2312" w:cs="仿宋_GB2312"/>
          <w:snapToGrid w:val="0"/>
          <w:spacing w:val="9"/>
          <w:kern w:val="0"/>
          <w:sz w:val="32"/>
          <w:szCs w:val="32"/>
        </w:rPr>
        <w:t xml:space="preserve">第八条  </w:t>
      </w:r>
      <w:r>
        <w:rPr>
          <w:rFonts w:hint="eastAsia" w:ascii="仿宋_GB2312" w:hAnsi="仿宋_GB2312" w:eastAsia="仿宋_GB2312" w:cs="仿宋_GB2312"/>
          <w:sz w:val="32"/>
          <w:szCs w:val="32"/>
        </w:rPr>
        <w:t>鼓励和支持公民、法人和其他组织依法设立豫剧艺术表演团体，成立豫剧社会组织，建设豫剧演出、展示、传习场所，开展豫剧演出展示、研究交流、传承普及等活动。</w:t>
      </w:r>
    </w:p>
    <w:p>
      <w:pPr>
        <w:widowControl/>
        <w:autoSpaceDE w:val="0"/>
        <w:autoSpaceDN w:val="0"/>
        <w:adjustRightInd w:val="0"/>
        <w:snapToGrid w:val="0"/>
        <w:spacing w:line="360" w:lineRule="auto"/>
        <w:ind w:firstLine="640" w:firstLineChars="200"/>
        <w:textAlignment w:val="baseline"/>
        <w:rPr>
          <w:rFonts w:ascii="仿宋_GB2312" w:hAnsi="仿宋_GB2312" w:eastAsia="仿宋_GB2312" w:cs="仿宋_GB2312"/>
          <w:sz w:val="32"/>
          <w:szCs w:val="32"/>
        </w:rPr>
      </w:pPr>
      <w:r>
        <w:rPr>
          <w:rFonts w:hint="eastAsia" w:ascii="仿宋_GB2312" w:hAnsi="仿宋_GB2312" w:eastAsia="仿宋_GB2312" w:cs="仿宋_GB2312"/>
          <w:sz w:val="32"/>
          <w:szCs w:val="32"/>
        </w:rPr>
        <w:t>省和相关市、县(市、区)人民政府及其有关部门应当通过培训辅导、组织展演、购买服务、项目资助等方式扶持豫剧艺术表演团体和群众性豫剧社会组织健康发展，鼓励其开展经常性群众演出活动。</w:t>
      </w:r>
    </w:p>
    <w:p>
      <w:pPr>
        <w:widowControl/>
        <w:autoSpaceDE w:val="0"/>
        <w:autoSpaceDN w:val="0"/>
        <w:adjustRightInd w:val="0"/>
        <w:snapToGrid w:val="0"/>
        <w:spacing w:line="360" w:lineRule="auto"/>
        <w:ind w:firstLine="676" w:firstLineChars="200"/>
        <w:textAlignment w:val="baseline"/>
        <w:rPr>
          <w:rFonts w:ascii="CESI仿宋-GB2312" w:hAnsi="CESI仿宋-GB2312" w:eastAsia="CESI仿宋-GB2312" w:cs="CESI仿宋-GB2312"/>
          <w:sz w:val="32"/>
          <w:szCs w:val="32"/>
        </w:rPr>
      </w:pPr>
      <w:r>
        <w:rPr>
          <w:rFonts w:hint="eastAsia" w:ascii="仿宋_GB2312" w:hAnsi="仿宋_GB2312" w:eastAsia="仿宋_GB2312" w:cs="仿宋_GB2312"/>
          <w:snapToGrid w:val="0"/>
          <w:spacing w:val="9"/>
          <w:kern w:val="0"/>
          <w:sz w:val="32"/>
          <w:szCs w:val="32"/>
        </w:rPr>
        <w:t xml:space="preserve">第九条  </w:t>
      </w:r>
      <w:r>
        <w:rPr>
          <w:rFonts w:hint="eastAsia" w:ascii="仿宋_GB2312" w:hAnsi="仿宋_GB2312" w:eastAsia="仿宋_GB2312" w:cs="仿宋_GB2312"/>
          <w:sz w:val="32"/>
          <w:szCs w:val="32"/>
        </w:rPr>
        <w:t>对豫剧保护和发展作出突出贡献的组织和个人，由省和相关市、县(市、区)人民政府按照国家和省有关规定给予表彰、奖励。</w:t>
      </w:r>
    </w:p>
    <w:p>
      <w:pPr>
        <w:widowControl/>
        <w:numPr>
          <w:ilvl w:val="0"/>
          <w:numId w:val="1"/>
        </w:numPr>
        <w:autoSpaceDE w:val="0"/>
        <w:autoSpaceDN w:val="0"/>
        <w:adjustRightInd w:val="0"/>
        <w:snapToGrid w:val="0"/>
        <w:spacing w:after="156" w:afterLines="50" w:line="360" w:lineRule="auto"/>
        <w:ind w:right="91" w:firstLine="584"/>
        <w:jc w:val="center"/>
        <w:textAlignment w:val="baseline"/>
        <w:rPr>
          <w:rFonts w:ascii="黑体" w:hAnsi="黑体" w:eastAsia="黑体" w:cs="黑体"/>
          <w:bCs/>
          <w:sz w:val="32"/>
          <w:szCs w:val="32"/>
        </w:rPr>
      </w:pPr>
      <w:r>
        <w:rPr>
          <w:rFonts w:hint="eastAsia" w:ascii="黑体" w:hAnsi="黑体" w:eastAsia="黑体" w:cs="黑体"/>
          <w:bCs/>
          <w:sz w:val="32"/>
          <w:szCs w:val="32"/>
        </w:rPr>
        <w:t xml:space="preserve"> 保护传承</w:t>
      </w:r>
    </w:p>
    <w:p>
      <w:pPr>
        <w:widowControl/>
        <w:autoSpaceDE w:val="0"/>
        <w:autoSpaceDN w:val="0"/>
        <w:adjustRightInd w:val="0"/>
        <w:snapToGrid w:val="0"/>
        <w:spacing w:line="360" w:lineRule="auto"/>
        <w:ind w:firstLine="676" w:firstLineChars="200"/>
        <w:textAlignment w:val="baseline"/>
        <w:rPr>
          <w:rFonts w:ascii="仿宋_GB2312" w:hAnsi="仿宋_GB2312" w:eastAsia="仿宋_GB2312" w:cs="仿宋_GB2312"/>
          <w:sz w:val="32"/>
          <w:szCs w:val="32"/>
        </w:rPr>
      </w:pPr>
      <w:r>
        <w:rPr>
          <w:rFonts w:hint="eastAsia" w:ascii="仿宋_GB2312" w:hAnsi="仿宋_GB2312" w:eastAsia="仿宋_GB2312" w:cs="仿宋_GB2312"/>
          <w:snapToGrid w:val="0"/>
          <w:spacing w:val="9"/>
          <w:kern w:val="0"/>
          <w:sz w:val="32"/>
          <w:szCs w:val="32"/>
        </w:rPr>
        <w:t xml:space="preserve">第十条  </w:t>
      </w:r>
      <w:r>
        <w:rPr>
          <w:rFonts w:hint="eastAsia" w:ascii="仿宋_GB2312" w:hAnsi="仿宋_GB2312" w:eastAsia="仿宋_GB2312" w:cs="仿宋_GB2312"/>
          <w:sz w:val="32"/>
          <w:szCs w:val="32"/>
        </w:rPr>
        <w:t>豫剧保护和发展的对象，包括下列具有历史、文学、艺术、美学价值的豫剧传统文化表现形式以及相关的实物、场所等；</w:t>
      </w:r>
    </w:p>
    <w:p>
      <w:pPr>
        <w:widowControl/>
        <w:autoSpaceDE w:val="0"/>
        <w:autoSpaceDN w:val="0"/>
        <w:adjustRightInd w:val="0"/>
        <w:snapToGrid w:val="0"/>
        <w:spacing w:line="360" w:lineRule="auto"/>
        <w:ind w:firstLine="640" w:firstLineChars="200"/>
        <w:textAlignment w:val="baseline"/>
        <w:rPr>
          <w:rFonts w:ascii="仿宋_GB2312" w:hAnsi="仿宋_GB2312" w:eastAsia="仿宋_GB2312" w:cs="仿宋_GB2312"/>
          <w:sz w:val="32"/>
          <w:szCs w:val="32"/>
        </w:rPr>
      </w:pPr>
      <w:r>
        <w:rPr>
          <w:rFonts w:hint="eastAsia" w:ascii="仿宋_GB2312" w:hAnsi="仿宋_GB2312" w:eastAsia="仿宋_GB2312" w:cs="仿宋_GB2312"/>
          <w:sz w:val="32"/>
          <w:szCs w:val="32"/>
        </w:rPr>
        <w:t>(一)豫剧的代表性剧目、音乐、表演技艺、唱腔以及民俗、方言等；</w:t>
      </w:r>
    </w:p>
    <w:p>
      <w:pPr>
        <w:widowControl/>
        <w:autoSpaceDE w:val="0"/>
        <w:autoSpaceDN w:val="0"/>
        <w:adjustRightInd w:val="0"/>
        <w:snapToGrid w:val="0"/>
        <w:spacing w:line="360" w:lineRule="auto"/>
        <w:ind w:firstLine="640" w:firstLineChars="200"/>
        <w:textAlignment w:val="baseline"/>
        <w:rPr>
          <w:rFonts w:ascii="仿宋_GB2312" w:hAnsi="仿宋_GB2312" w:eastAsia="仿宋_GB2312" w:cs="仿宋_GB2312"/>
          <w:sz w:val="32"/>
          <w:szCs w:val="32"/>
        </w:rPr>
      </w:pPr>
      <w:r>
        <w:rPr>
          <w:rFonts w:hint="eastAsia" w:ascii="仿宋_GB2312" w:hAnsi="仿宋_GB2312" w:eastAsia="仿宋_GB2312" w:cs="仿宋_GB2312"/>
          <w:sz w:val="32"/>
          <w:szCs w:val="32"/>
        </w:rPr>
        <w:t>(二)与豫剧相关的乐器、服饰、化妆、道具等实物及其制作、使用技艺；</w:t>
      </w:r>
    </w:p>
    <w:p>
      <w:pPr>
        <w:widowControl/>
        <w:autoSpaceDE w:val="0"/>
        <w:autoSpaceDN w:val="0"/>
        <w:adjustRightInd w:val="0"/>
        <w:snapToGrid w:val="0"/>
        <w:spacing w:line="360" w:lineRule="auto"/>
        <w:ind w:firstLine="640" w:firstLineChars="200"/>
        <w:textAlignment w:val="baseline"/>
        <w:rPr>
          <w:rFonts w:ascii="仿宋_GB2312" w:hAnsi="仿宋_GB2312" w:eastAsia="仿宋_GB2312" w:cs="仿宋_GB2312"/>
          <w:sz w:val="32"/>
          <w:szCs w:val="32"/>
        </w:rPr>
      </w:pPr>
      <w:r>
        <w:rPr>
          <w:rFonts w:hint="eastAsia" w:ascii="仿宋_GB2312" w:hAnsi="仿宋_GB2312" w:eastAsia="仿宋_GB2312" w:cs="仿宋_GB2312"/>
          <w:sz w:val="32"/>
          <w:szCs w:val="32"/>
        </w:rPr>
        <w:t>(三)与豫剧相关的历史建筑、文献档案、影音资料等；</w:t>
      </w:r>
    </w:p>
    <w:p>
      <w:pPr>
        <w:widowControl/>
        <w:autoSpaceDE w:val="0"/>
        <w:autoSpaceDN w:val="0"/>
        <w:adjustRightInd w:val="0"/>
        <w:snapToGrid w:val="0"/>
        <w:spacing w:line="360" w:lineRule="auto"/>
        <w:ind w:firstLine="640" w:firstLineChars="200"/>
        <w:textAlignment w:val="baseline"/>
        <w:rPr>
          <w:rFonts w:ascii="仿宋_GB2312" w:hAnsi="仿宋_GB2312" w:eastAsia="仿宋_GB2312" w:cs="仿宋_GB2312"/>
          <w:sz w:val="32"/>
          <w:szCs w:val="32"/>
        </w:rPr>
      </w:pPr>
      <w:r>
        <w:rPr>
          <w:rFonts w:hint="eastAsia" w:ascii="仿宋_GB2312" w:hAnsi="仿宋_GB2312" w:eastAsia="仿宋_GB2312" w:cs="仿宋_GB2312"/>
          <w:sz w:val="32"/>
          <w:szCs w:val="32"/>
        </w:rPr>
        <w:t>(四)与豫剧相关的其他需要保护的对象。</w:t>
      </w:r>
    </w:p>
    <w:p>
      <w:pPr>
        <w:widowControl/>
        <w:autoSpaceDE w:val="0"/>
        <w:autoSpaceDN w:val="0"/>
        <w:adjustRightInd w:val="0"/>
        <w:snapToGrid w:val="0"/>
        <w:spacing w:line="360" w:lineRule="auto"/>
        <w:ind w:firstLine="640" w:firstLineChars="200"/>
        <w:textAlignment w:val="baseline"/>
        <w:rPr>
          <w:rFonts w:ascii="仿宋_GB2312" w:hAnsi="仿宋_GB2312" w:eastAsia="仿宋_GB2312" w:cs="仿宋_GB2312"/>
          <w:sz w:val="32"/>
          <w:szCs w:val="32"/>
        </w:rPr>
      </w:pPr>
      <w:r>
        <w:rPr>
          <w:rFonts w:hint="eastAsia" w:ascii="仿宋_GB2312" w:hAnsi="仿宋_GB2312" w:eastAsia="仿宋_GB2312" w:cs="仿宋_GB2312"/>
          <w:sz w:val="32"/>
          <w:szCs w:val="32"/>
        </w:rPr>
        <w:t>法律、法规对豫剧保护对象中属于文物、档案、历史建筑、数据等另有规定的，从其规定。</w:t>
      </w:r>
    </w:p>
    <w:p>
      <w:pPr>
        <w:widowControl/>
        <w:autoSpaceDE w:val="0"/>
        <w:autoSpaceDN w:val="0"/>
        <w:adjustRightInd w:val="0"/>
        <w:snapToGrid w:val="0"/>
        <w:spacing w:line="360" w:lineRule="auto"/>
        <w:ind w:firstLine="676" w:firstLineChars="200"/>
        <w:textAlignment w:val="baseline"/>
        <w:rPr>
          <w:rFonts w:ascii="仿宋_GB2312" w:hAnsi="仿宋_GB2312" w:eastAsia="仿宋_GB2312" w:cs="仿宋_GB2312"/>
          <w:sz w:val="32"/>
          <w:szCs w:val="32"/>
        </w:rPr>
      </w:pPr>
      <w:r>
        <w:rPr>
          <w:rFonts w:hint="eastAsia" w:ascii="仿宋_GB2312" w:hAnsi="仿宋_GB2312" w:eastAsia="仿宋_GB2312" w:cs="仿宋_GB2312"/>
          <w:snapToGrid w:val="0"/>
          <w:spacing w:val="9"/>
          <w:kern w:val="0"/>
          <w:sz w:val="32"/>
          <w:szCs w:val="32"/>
        </w:rPr>
        <w:t xml:space="preserve">第十一条  </w:t>
      </w:r>
      <w:r>
        <w:rPr>
          <w:rFonts w:hint="eastAsia" w:ascii="仿宋_GB2312" w:hAnsi="仿宋_GB2312" w:eastAsia="仿宋_GB2312" w:cs="仿宋_GB2312"/>
          <w:sz w:val="32"/>
          <w:szCs w:val="32"/>
        </w:rPr>
        <w:t>省和相关市、县(市、区)人民政府应当保护修缮并合理利用古戏台等豫剧演出场所、设施，根据规划建设豫剧排练演出场所、豫剧博物馆、艺术档案馆(室)等，在明确所有权权属的前提下，可以整合闲置的公共场所或者国有房屋改造为豫剧活动场所，鼓励利用现有公共设施开展豫剧艺术活动。</w:t>
      </w:r>
    </w:p>
    <w:p>
      <w:pPr>
        <w:widowControl/>
        <w:autoSpaceDE w:val="0"/>
        <w:autoSpaceDN w:val="0"/>
        <w:adjustRightInd w:val="0"/>
        <w:snapToGrid w:val="0"/>
        <w:spacing w:line="360" w:lineRule="auto"/>
        <w:ind w:firstLine="640" w:firstLineChars="200"/>
        <w:textAlignment w:val="baseline"/>
        <w:rPr>
          <w:rFonts w:ascii="仿宋_GB2312" w:hAnsi="仿宋_GB2312" w:eastAsia="仿宋_GB2312" w:cs="仿宋_GB2312"/>
          <w:sz w:val="32"/>
          <w:szCs w:val="32"/>
        </w:rPr>
      </w:pPr>
      <w:r>
        <w:rPr>
          <w:rFonts w:hint="eastAsia" w:ascii="仿宋_GB2312" w:hAnsi="仿宋_GB2312" w:eastAsia="仿宋_GB2312" w:cs="仿宋_GB2312"/>
          <w:sz w:val="32"/>
          <w:szCs w:val="32"/>
        </w:rPr>
        <w:t>本省公共图书馆、文化馆(站)、博物馆、美术馆、非物质文化遗产馆(中心)、体育场(馆)、科技馆、方志馆、工人文化宫、青少年宫、妇女儿童活动中心、老年人活动中心、乡镇(街道)和村(社区)基层综合性文化服务中心等公共文化设施，应当免费或者优惠为豫剧表演、传承、普及等公益性活动提供场地。</w:t>
      </w:r>
    </w:p>
    <w:p>
      <w:pPr>
        <w:widowControl/>
        <w:autoSpaceDE w:val="0"/>
        <w:autoSpaceDN w:val="0"/>
        <w:adjustRightInd w:val="0"/>
        <w:snapToGrid w:val="0"/>
        <w:spacing w:line="360" w:lineRule="auto"/>
        <w:ind w:firstLine="640" w:firstLineChars="200"/>
        <w:textAlignment w:val="baseline"/>
        <w:rPr>
          <w:rFonts w:ascii="仿宋_GB2312" w:hAnsi="仿宋_GB2312" w:eastAsia="仿宋_GB2312" w:cs="仿宋_GB2312"/>
          <w:sz w:val="32"/>
          <w:szCs w:val="32"/>
        </w:rPr>
      </w:pPr>
      <w:r>
        <w:rPr>
          <w:rFonts w:hint="eastAsia" w:ascii="仿宋_GB2312" w:hAnsi="仿宋_GB2312" w:eastAsia="仿宋_GB2312" w:cs="仿宋_GB2312"/>
          <w:sz w:val="32"/>
          <w:szCs w:val="32"/>
        </w:rPr>
        <w:t>有条件的文化馆(站)、非物质文化遗产馆(中心)等公共文化机构，应当把豫剧艺术普及纳入日常服务项目，举办豫剧培训，开展豫剧排演观摩、角色和行当体验互动等活动。</w:t>
      </w:r>
    </w:p>
    <w:p>
      <w:pPr>
        <w:widowControl/>
        <w:autoSpaceDE w:val="0"/>
        <w:autoSpaceDN w:val="0"/>
        <w:adjustRightInd w:val="0"/>
        <w:snapToGrid w:val="0"/>
        <w:spacing w:line="360" w:lineRule="auto"/>
        <w:ind w:firstLine="676" w:firstLineChars="200"/>
        <w:textAlignment w:val="baseline"/>
        <w:rPr>
          <w:rFonts w:ascii="仿宋_GB2312" w:hAnsi="仿宋_GB2312" w:eastAsia="仿宋_GB2312" w:cs="仿宋_GB2312"/>
          <w:sz w:val="32"/>
          <w:szCs w:val="32"/>
        </w:rPr>
      </w:pPr>
      <w:r>
        <w:rPr>
          <w:rFonts w:hint="eastAsia" w:ascii="仿宋_GB2312" w:hAnsi="仿宋_GB2312" w:eastAsia="仿宋_GB2312" w:cs="仿宋_GB2312"/>
          <w:snapToGrid w:val="0"/>
          <w:spacing w:val="9"/>
          <w:kern w:val="0"/>
          <w:sz w:val="32"/>
          <w:szCs w:val="32"/>
        </w:rPr>
        <w:t xml:space="preserve">第十二条  </w:t>
      </w:r>
      <w:r>
        <w:rPr>
          <w:rFonts w:hint="eastAsia" w:ascii="仿宋_GB2312" w:hAnsi="仿宋_GB2312" w:eastAsia="仿宋_GB2312" w:cs="仿宋_GB2312"/>
          <w:sz w:val="32"/>
          <w:szCs w:val="32"/>
        </w:rPr>
        <w:t>省和相关市、县(市、区)人民政府文化和旅游主管部门应当组织开展豫剧资源调查，认定、记录、收集具有历史、文学、艺术、美学价值的资料档案、口述史和实物，编制豫剧保护和发展目录清单并向社会公开。</w:t>
      </w:r>
    </w:p>
    <w:p>
      <w:pPr>
        <w:widowControl/>
        <w:autoSpaceDE w:val="0"/>
        <w:autoSpaceDN w:val="0"/>
        <w:adjustRightInd w:val="0"/>
        <w:snapToGrid w:val="0"/>
        <w:spacing w:line="360" w:lineRule="auto"/>
        <w:ind w:firstLine="640" w:firstLineChars="200"/>
        <w:textAlignment w:val="baseline"/>
        <w:rPr>
          <w:rFonts w:ascii="仿宋_GB2312" w:hAnsi="仿宋_GB2312" w:eastAsia="仿宋_GB2312" w:cs="仿宋_GB2312"/>
          <w:sz w:val="32"/>
          <w:szCs w:val="32"/>
        </w:rPr>
      </w:pPr>
      <w:r>
        <w:rPr>
          <w:rFonts w:hint="eastAsia" w:ascii="仿宋_GB2312" w:hAnsi="仿宋_GB2312" w:eastAsia="仿宋_GB2312" w:cs="仿宋_GB2312"/>
          <w:sz w:val="32"/>
          <w:szCs w:val="32"/>
        </w:rPr>
        <w:t>省和相关市、县(市、区)人民政府文化和旅游主管部门应当公布豫剧资源信息征集渠道，鼓励公民、法人和其他组织依法进行豫剧资源调查，提供豫剧资源信息。省和相关市、县(市、区)人民政府文化和旅游主管部门应当进行调查。</w:t>
      </w:r>
    </w:p>
    <w:p>
      <w:pPr>
        <w:widowControl/>
        <w:autoSpaceDE w:val="0"/>
        <w:autoSpaceDN w:val="0"/>
        <w:adjustRightInd w:val="0"/>
        <w:snapToGrid w:val="0"/>
        <w:spacing w:line="360" w:lineRule="auto"/>
        <w:ind w:firstLine="676" w:firstLineChars="200"/>
        <w:textAlignment w:val="baseline"/>
        <w:rPr>
          <w:rFonts w:ascii="仿宋_GB2312" w:hAnsi="仿宋_GB2312" w:eastAsia="仿宋_GB2312" w:cs="仿宋_GB2312"/>
          <w:sz w:val="32"/>
          <w:szCs w:val="32"/>
        </w:rPr>
      </w:pPr>
      <w:r>
        <w:rPr>
          <w:rFonts w:hint="eastAsia" w:ascii="仿宋_GB2312" w:hAnsi="仿宋_GB2312" w:eastAsia="仿宋_GB2312" w:cs="仿宋_GB2312"/>
          <w:snapToGrid w:val="0"/>
          <w:spacing w:val="9"/>
          <w:kern w:val="0"/>
          <w:sz w:val="32"/>
          <w:szCs w:val="32"/>
        </w:rPr>
        <w:t xml:space="preserve">第十三条  </w:t>
      </w:r>
      <w:r>
        <w:rPr>
          <w:rFonts w:hint="eastAsia" w:ascii="仿宋_GB2312" w:hAnsi="仿宋_GB2312" w:eastAsia="仿宋_GB2312" w:cs="仿宋_GB2312"/>
          <w:sz w:val="32"/>
          <w:szCs w:val="32"/>
        </w:rPr>
        <w:t>省和相关市、县(市、区)人民政府应当加强对历史悠久、享有盛誉、具有代表性的豫剧艺术品牌的保护。</w:t>
      </w:r>
    </w:p>
    <w:p>
      <w:pPr>
        <w:widowControl/>
        <w:autoSpaceDE w:val="0"/>
        <w:autoSpaceDN w:val="0"/>
        <w:adjustRightInd w:val="0"/>
        <w:snapToGrid w:val="0"/>
        <w:spacing w:line="360" w:lineRule="auto"/>
        <w:ind w:firstLine="640" w:firstLineChars="200"/>
        <w:textAlignment w:val="baseline"/>
        <w:rPr>
          <w:rFonts w:ascii="仿宋_GB2312" w:hAnsi="仿宋_GB2312" w:eastAsia="仿宋_GB2312" w:cs="仿宋_GB2312"/>
          <w:snapToGrid w:val="0"/>
          <w:spacing w:val="9"/>
          <w:kern w:val="0"/>
          <w:sz w:val="30"/>
          <w:szCs w:val="30"/>
        </w:rPr>
      </w:pPr>
      <w:r>
        <w:rPr>
          <w:rFonts w:hint="eastAsia" w:ascii="仿宋_GB2312" w:hAnsi="仿宋_GB2312" w:eastAsia="仿宋_GB2312" w:cs="仿宋_GB2312"/>
          <w:sz w:val="32"/>
          <w:szCs w:val="32"/>
        </w:rPr>
        <w:t>省人民政府制定公布豫剧艺术品牌保护办法和相关目录，对豫剧艺术名团、名家、名戏、名址等予以保护。</w:t>
      </w:r>
    </w:p>
    <w:p>
      <w:pPr>
        <w:widowControl/>
        <w:autoSpaceDE w:val="0"/>
        <w:autoSpaceDN w:val="0"/>
        <w:adjustRightInd w:val="0"/>
        <w:snapToGrid w:val="0"/>
        <w:spacing w:line="360" w:lineRule="auto"/>
        <w:ind w:firstLine="676" w:firstLineChars="200"/>
        <w:textAlignment w:val="baseline"/>
        <w:rPr>
          <w:rFonts w:ascii="仿宋" w:hAnsi="仿宋" w:eastAsia="仿宋" w:cs="仿宋"/>
          <w:snapToGrid w:val="0"/>
          <w:spacing w:val="9"/>
          <w:kern w:val="0"/>
          <w:sz w:val="30"/>
          <w:szCs w:val="30"/>
        </w:rPr>
      </w:pPr>
      <w:r>
        <w:rPr>
          <w:rFonts w:hint="eastAsia" w:ascii="仿宋_GB2312" w:hAnsi="仿宋_GB2312" w:eastAsia="仿宋_GB2312" w:cs="仿宋_GB2312"/>
          <w:snapToGrid w:val="0"/>
          <w:spacing w:val="9"/>
          <w:kern w:val="0"/>
          <w:sz w:val="32"/>
          <w:szCs w:val="32"/>
        </w:rPr>
        <w:t xml:space="preserve">第十四条  </w:t>
      </w:r>
      <w:r>
        <w:rPr>
          <w:rFonts w:hint="eastAsia" w:ascii="仿宋_GB2312" w:hAnsi="仿宋_GB2312" w:eastAsia="仿宋_GB2312" w:cs="仿宋_GB2312"/>
          <w:sz w:val="32"/>
          <w:szCs w:val="32"/>
        </w:rPr>
        <w:t>省和相关市、县(市、区)人民政府应当健全豫剧保护传承发展体系，建立豫剧保护传习基地，支持传承人开展传承、传播活动，注重豫剧在舞台上的活态传承和社会传承。</w:t>
      </w:r>
    </w:p>
    <w:p>
      <w:pPr>
        <w:widowControl/>
        <w:numPr>
          <w:ilvl w:val="0"/>
          <w:numId w:val="1"/>
        </w:numPr>
        <w:autoSpaceDE w:val="0"/>
        <w:autoSpaceDN w:val="0"/>
        <w:adjustRightInd w:val="0"/>
        <w:snapToGrid w:val="0"/>
        <w:spacing w:after="156" w:afterLines="50" w:line="360" w:lineRule="auto"/>
        <w:ind w:right="91" w:firstLine="584"/>
        <w:jc w:val="center"/>
        <w:textAlignment w:val="baseline"/>
        <w:rPr>
          <w:rFonts w:ascii="黑体" w:hAnsi="黑体" w:eastAsia="黑体" w:cs="黑体"/>
          <w:bCs/>
          <w:sz w:val="32"/>
          <w:szCs w:val="32"/>
        </w:rPr>
      </w:pPr>
      <w:r>
        <w:rPr>
          <w:rFonts w:hint="eastAsia" w:ascii="黑体" w:hAnsi="黑体" w:eastAsia="黑体" w:cs="黑体"/>
          <w:bCs/>
          <w:sz w:val="32"/>
          <w:szCs w:val="32"/>
        </w:rPr>
        <w:t xml:space="preserve"> 人才培养</w:t>
      </w:r>
    </w:p>
    <w:p>
      <w:pPr>
        <w:widowControl/>
        <w:autoSpaceDE w:val="0"/>
        <w:autoSpaceDN w:val="0"/>
        <w:adjustRightInd w:val="0"/>
        <w:snapToGrid w:val="0"/>
        <w:spacing w:line="360" w:lineRule="auto"/>
        <w:ind w:firstLine="676" w:firstLineChars="200"/>
        <w:textAlignment w:val="baseline"/>
        <w:rPr>
          <w:rFonts w:ascii="仿宋_GB2312" w:hAnsi="仿宋_GB2312" w:eastAsia="仿宋_GB2312" w:cs="仿宋_GB2312"/>
          <w:sz w:val="32"/>
          <w:szCs w:val="32"/>
        </w:rPr>
      </w:pPr>
      <w:r>
        <w:rPr>
          <w:rFonts w:hint="eastAsia" w:ascii="仿宋_GB2312" w:hAnsi="仿宋_GB2312" w:eastAsia="仿宋_GB2312" w:cs="仿宋_GB2312"/>
          <w:snapToGrid w:val="0"/>
          <w:spacing w:val="9"/>
          <w:kern w:val="0"/>
          <w:sz w:val="32"/>
          <w:szCs w:val="32"/>
        </w:rPr>
        <w:t xml:space="preserve">第十五条  </w:t>
      </w:r>
      <w:r>
        <w:rPr>
          <w:rFonts w:hint="eastAsia" w:ascii="仿宋_GB2312" w:hAnsi="仿宋_GB2312" w:eastAsia="仿宋_GB2312" w:cs="仿宋_GB2312"/>
          <w:sz w:val="32"/>
          <w:szCs w:val="32"/>
        </w:rPr>
        <w:t>省和相关市、县(市、区)人民政府及其文化和旅游、人力资源社会保障、教育等主管部门应当加强豫剧人才培养，制定科学合理的人才规划和培训计划，完善的人才培养、引进、管理、使用制度，加大对豫剧领军人物、紧缺人才和后备人才的培育力度。</w:t>
      </w:r>
    </w:p>
    <w:p>
      <w:pPr>
        <w:widowControl/>
        <w:autoSpaceDE w:val="0"/>
        <w:autoSpaceDN w:val="0"/>
        <w:adjustRightInd w:val="0"/>
        <w:snapToGrid w:val="0"/>
        <w:spacing w:line="360" w:lineRule="auto"/>
        <w:ind w:firstLine="640" w:firstLineChars="200"/>
        <w:textAlignment w:val="baseline"/>
        <w:rPr>
          <w:rFonts w:ascii="仿宋_GB2312" w:hAnsi="仿宋_GB2312" w:eastAsia="仿宋_GB2312" w:cs="仿宋_GB2312"/>
          <w:sz w:val="32"/>
          <w:szCs w:val="32"/>
        </w:rPr>
      </w:pPr>
      <w:r>
        <w:rPr>
          <w:rFonts w:hint="eastAsia" w:ascii="仿宋_GB2312" w:hAnsi="仿宋_GB2312" w:eastAsia="仿宋_GB2312" w:cs="仿宋_GB2312"/>
          <w:sz w:val="32"/>
          <w:szCs w:val="32"/>
        </w:rPr>
        <w:t>加强对青年人才的培养和储备，为演职人员提供就业技能培训和岗位技能提升培训。加强主创人员队伍建设，注重扶持县级以下基层文化机构创作人才。</w:t>
      </w:r>
    </w:p>
    <w:p>
      <w:pPr>
        <w:widowControl/>
        <w:autoSpaceDE w:val="0"/>
        <w:autoSpaceDN w:val="0"/>
        <w:adjustRightInd w:val="0"/>
        <w:snapToGrid w:val="0"/>
        <w:spacing w:line="360" w:lineRule="auto"/>
        <w:ind w:firstLine="640" w:firstLineChars="200"/>
        <w:textAlignment w:val="baseline"/>
        <w:rPr>
          <w:rFonts w:ascii="仿宋_GB2312" w:hAnsi="仿宋_GB2312" w:eastAsia="仿宋_GB2312" w:cs="仿宋_GB2312"/>
          <w:sz w:val="32"/>
          <w:szCs w:val="32"/>
        </w:rPr>
      </w:pPr>
      <w:r>
        <w:rPr>
          <w:rFonts w:hint="eastAsia" w:ascii="仿宋_GB2312" w:hAnsi="仿宋_GB2312" w:eastAsia="仿宋_GB2312" w:cs="仿宋_GB2312"/>
          <w:sz w:val="32"/>
          <w:szCs w:val="32"/>
        </w:rPr>
        <w:t>支持艺术类普通高等学校和职业学校开设与豫剧艺术表演、艺术创作、艺术管理和技术保障等相关的专业，完善豫剧相关人才培养体系。</w:t>
      </w:r>
    </w:p>
    <w:p>
      <w:pPr>
        <w:widowControl/>
        <w:autoSpaceDE w:val="0"/>
        <w:autoSpaceDN w:val="0"/>
        <w:adjustRightInd w:val="0"/>
        <w:snapToGrid w:val="0"/>
        <w:spacing w:line="360" w:lineRule="auto"/>
        <w:ind w:firstLine="640" w:firstLineChars="200"/>
        <w:textAlignment w:val="baseline"/>
        <w:rPr>
          <w:rFonts w:ascii="仿宋_GB2312" w:hAnsi="仿宋_GB2312" w:eastAsia="仿宋_GB2312" w:cs="仿宋_GB2312"/>
          <w:sz w:val="32"/>
          <w:szCs w:val="32"/>
        </w:rPr>
      </w:pPr>
      <w:r>
        <w:rPr>
          <w:rFonts w:hint="eastAsia" w:ascii="仿宋_GB2312" w:hAnsi="仿宋_GB2312" w:eastAsia="仿宋_GB2312" w:cs="仿宋_GB2312"/>
          <w:sz w:val="32"/>
          <w:szCs w:val="32"/>
        </w:rPr>
        <w:t>支持豫剧艺术表演团体和专业院校、科研机构合作，通过委托培养、短期培训、合作办学等形式开展人才培养，共建教学实践基地和社会实践基地。</w:t>
      </w:r>
    </w:p>
    <w:p>
      <w:pPr>
        <w:widowControl/>
        <w:autoSpaceDE w:val="0"/>
        <w:autoSpaceDN w:val="0"/>
        <w:adjustRightInd w:val="0"/>
        <w:snapToGrid w:val="0"/>
        <w:spacing w:line="360" w:lineRule="auto"/>
        <w:ind w:firstLine="640" w:firstLineChars="200"/>
        <w:textAlignment w:val="baseline"/>
        <w:rPr>
          <w:rFonts w:ascii="仿宋_GB2312" w:hAnsi="仿宋_GB2312" w:eastAsia="仿宋_GB2312" w:cs="仿宋_GB2312"/>
          <w:sz w:val="32"/>
          <w:szCs w:val="32"/>
        </w:rPr>
      </w:pPr>
      <w:r>
        <w:rPr>
          <w:rFonts w:hint="eastAsia" w:ascii="仿宋_GB2312" w:hAnsi="仿宋_GB2312" w:eastAsia="仿宋_GB2312" w:cs="仿宋_GB2312"/>
          <w:sz w:val="32"/>
          <w:szCs w:val="32"/>
        </w:rPr>
        <w:t>支持有条件的国有文艺院团开办艺术培训学校。支持豫剧代表性传承人、艺术名家成立工作室，通过收徒传艺、示范展演等方式，培养豫剧后备人才。</w:t>
      </w:r>
    </w:p>
    <w:p>
      <w:pPr>
        <w:widowControl/>
        <w:autoSpaceDE w:val="0"/>
        <w:autoSpaceDN w:val="0"/>
        <w:adjustRightInd w:val="0"/>
        <w:snapToGrid w:val="0"/>
        <w:spacing w:line="360" w:lineRule="auto"/>
        <w:ind w:firstLine="676" w:firstLineChars="200"/>
        <w:textAlignment w:val="baseline"/>
        <w:rPr>
          <w:rFonts w:ascii="仿宋_GB2312" w:hAnsi="仿宋_GB2312" w:eastAsia="仿宋_GB2312" w:cs="仿宋_GB2312"/>
          <w:sz w:val="32"/>
          <w:szCs w:val="32"/>
        </w:rPr>
      </w:pPr>
      <w:r>
        <w:rPr>
          <w:rFonts w:hint="eastAsia" w:ascii="仿宋_GB2312" w:hAnsi="仿宋_GB2312" w:eastAsia="仿宋_GB2312" w:cs="仿宋_GB2312"/>
          <w:snapToGrid w:val="0"/>
          <w:spacing w:val="9"/>
          <w:kern w:val="0"/>
          <w:sz w:val="32"/>
          <w:szCs w:val="32"/>
        </w:rPr>
        <w:t xml:space="preserve">第十六条  </w:t>
      </w:r>
      <w:r>
        <w:rPr>
          <w:rFonts w:hint="eastAsia" w:ascii="仿宋_GB2312" w:hAnsi="仿宋_GB2312" w:eastAsia="仿宋_GB2312" w:cs="仿宋_GB2312"/>
          <w:sz w:val="32"/>
          <w:szCs w:val="32"/>
        </w:rPr>
        <w:t>省和相关市、县(市、区)人民政府人力资源社会保障主管部门应当指导相关部门加强豫剧从业人员职称评审管理，对长期在艰苦边远地区和基层一线工作的豫剧专业技术人才，侧重考查其实际工作业绩，适当放宽学历和任职年限要求。建立符合舞台艺术特点的人才评价机制，在职称评定中重点考察艺术人才在艺术表演和剧目创作生产中体现的能力、业绩，推行艺术创作作品与论文、专著等效评价，合理配置高级岗位中重要演职员比例。</w:t>
      </w:r>
    </w:p>
    <w:p>
      <w:pPr>
        <w:widowControl/>
        <w:autoSpaceDE w:val="0"/>
        <w:autoSpaceDN w:val="0"/>
        <w:adjustRightInd w:val="0"/>
        <w:snapToGrid w:val="0"/>
        <w:spacing w:line="360" w:lineRule="auto"/>
        <w:ind w:firstLine="640" w:firstLineChars="200"/>
        <w:textAlignment w:val="baseline"/>
        <w:rPr>
          <w:rFonts w:ascii="仿宋_GB2312" w:hAnsi="仿宋_GB2312" w:eastAsia="仿宋_GB2312" w:cs="仿宋_GB2312"/>
          <w:sz w:val="32"/>
          <w:szCs w:val="32"/>
        </w:rPr>
      </w:pPr>
      <w:r>
        <w:rPr>
          <w:rFonts w:hint="eastAsia" w:ascii="仿宋_GB2312" w:hAnsi="仿宋_GB2312" w:eastAsia="仿宋_GB2312" w:cs="仿宋_GB2312"/>
          <w:sz w:val="32"/>
          <w:szCs w:val="32"/>
        </w:rPr>
        <w:t>支持符合条件的优秀豫剧人才申报国家和省级人才计划(项目)。</w:t>
      </w:r>
    </w:p>
    <w:p>
      <w:pPr>
        <w:widowControl/>
        <w:autoSpaceDE w:val="0"/>
        <w:autoSpaceDN w:val="0"/>
        <w:adjustRightInd w:val="0"/>
        <w:snapToGrid w:val="0"/>
        <w:spacing w:line="360" w:lineRule="auto"/>
        <w:ind w:firstLine="676" w:firstLineChars="200"/>
        <w:textAlignment w:val="baseline"/>
        <w:rPr>
          <w:rFonts w:ascii="仿宋_GB2312" w:hAnsi="仿宋_GB2312" w:eastAsia="仿宋_GB2312" w:cs="仿宋_GB2312"/>
          <w:sz w:val="32"/>
          <w:szCs w:val="32"/>
        </w:rPr>
      </w:pPr>
      <w:r>
        <w:rPr>
          <w:rFonts w:hint="eastAsia" w:ascii="仿宋_GB2312" w:hAnsi="仿宋_GB2312" w:eastAsia="仿宋_GB2312" w:cs="仿宋_GB2312"/>
          <w:snapToGrid w:val="0"/>
          <w:spacing w:val="9"/>
          <w:kern w:val="0"/>
          <w:sz w:val="32"/>
          <w:szCs w:val="32"/>
        </w:rPr>
        <w:t xml:space="preserve">第十七条  </w:t>
      </w:r>
      <w:r>
        <w:rPr>
          <w:rFonts w:hint="eastAsia" w:ascii="仿宋_GB2312" w:hAnsi="仿宋_GB2312" w:eastAsia="仿宋_GB2312" w:cs="仿宋_GB2312"/>
          <w:sz w:val="32"/>
          <w:szCs w:val="32"/>
        </w:rPr>
        <w:t>国有豫剧艺术表演团体应当建立健全收入分配激励机制，根据演出数量和质量，合理确定从业人员的收入分配和福利保障。</w:t>
      </w:r>
    </w:p>
    <w:p>
      <w:pPr>
        <w:widowControl/>
        <w:autoSpaceDE w:val="0"/>
        <w:autoSpaceDN w:val="0"/>
        <w:adjustRightInd w:val="0"/>
        <w:snapToGrid w:val="0"/>
        <w:spacing w:line="360" w:lineRule="auto"/>
        <w:ind w:firstLine="640" w:firstLineChars="200"/>
        <w:textAlignment w:val="baseline"/>
        <w:rPr>
          <w:rFonts w:ascii="仿宋_GB2312" w:hAnsi="仿宋_GB2312" w:eastAsia="仿宋_GB2312" w:cs="仿宋_GB2312"/>
          <w:sz w:val="32"/>
          <w:szCs w:val="32"/>
        </w:rPr>
      </w:pPr>
      <w:r>
        <w:rPr>
          <w:rFonts w:hint="eastAsia" w:ascii="仿宋_GB2312" w:hAnsi="仿宋_GB2312" w:eastAsia="仿宋_GB2312" w:cs="仿宋_GB2312"/>
          <w:sz w:val="32"/>
          <w:szCs w:val="32"/>
        </w:rPr>
        <w:t>国有豫剧艺术表演团体可以按照国家和省有关规定，灵活采用多种渠道、多种方式引进豫剧专业人才，聘用特殊人才，合理确定薪资报酬。对高层次人才、关键岗位、业务骨干或者紧缺急需人才，可以实行协议工资、项目工资、年薪制等分配方式。</w:t>
      </w:r>
    </w:p>
    <w:p>
      <w:pPr>
        <w:widowControl/>
        <w:autoSpaceDE w:val="0"/>
        <w:autoSpaceDN w:val="0"/>
        <w:adjustRightInd w:val="0"/>
        <w:snapToGrid w:val="0"/>
        <w:spacing w:line="360" w:lineRule="auto"/>
        <w:ind w:firstLine="676" w:firstLineChars="200"/>
        <w:textAlignment w:val="baseline"/>
        <w:rPr>
          <w:rFonts w:ascii="仿宋_GB2312" w:hAnsi="仿宋_GB2312" w:eastAsia="仿宋_GB2312" w:cs="仿宋_GB2312"/>
          <w:sz w:val="32"/>
          <w:szCs w:val="32"/>
        </w:rPr>
      </w:pPr>
      <w:r>
        <w:rPr>
          <w:rFonts w:hint="eastAsia" w:ascii="仿宋_GB2312" w:hAnsi="仿宋_GB2312" w:eastAsia="仿宋_GB2312" w:cs="仿宋_GB2312"/>
          <w:snapToGrid w:val="0"/>
          <w:spacing w:val="9"/>
          <w:kern w:val="0"/>
          <w:sz w:val="32"/>
          <w:szCs w:val="32"/>
        </w:rPr>
        <w:t xml:space="preserve">第十八条  </w:t>
      </w:r>
      <w:r>
        <w:rPr>
          <w:rFonts w:hint="eastAsia" w:ascii="仿宋_GB2312" w:hAnsi="仿宋_GB2312" w:eastAsia="仿宋_GB2312" w:cs="仿宋_GB2312"/>
          <w:sz w:val="32"/>
          <w:szCs w:val="32"/>
        </w:rPr>
        <w:t>豫剧艺术表演团体应须按国家有关规定为职工办理社会保险。鼓励豫剧艺术表演团体为从业人员购买商业保险。</w:t>
      </w:r>
    </w:p>
    <w:p>
      <w:pPr>
        <w:widowControl/>
        <w:autoSpaceDE w:val="0"/>
        <w:autoSpaceDN w:val="0"/>
        <w:adjustRightInd w:val="0"/>
        <w:snapToGrid w:val="0"/>
        <w:spacing w:line="360" w:lineRule="auto"/>
        <w:ind w:firstLine="676" w:firstLineChars="200"/>
        <w:textAlignment w:val="baseline"/>
        <w:rPr>
          <w:rFonts w:ascii="仿宋_GB2312" w:hAnsi="仿宋_GB2312" w:eastAsia="仿宋_GB2312" w:cs="仿宋_GB2312"/>
          <w:sz w:val="32"/>
          <w:szCs w:val="32"/>
        </w:rPr>
      </w:pPr>
      <w:r>
        <w:rPr>
          <w:rFonts w:hint="eastAsia" w:ascii="仿宋_GB2312" w:hAnsi="仿宋_GB2312" w:eastAsia="仿宋_GB2312" w:cs="仿宋_GB2312"/>
          <w:snapToGrid w:val="0"/>
          <w:spacing w:val="9"/>
          <w:kern w:val="0"/>
          <w:sz w:val="32"/>
          <w:szCs w:val="32"/>
        </w:rPr>
        <w:t xml:space="preserve">第十九条  </w:t>
      </w:r>
      <w:r>
        <w:rPr>
          <w:rFonts w:hint="eastAsia" w:ascii="仿宋_GB2312" w:hAnsi="仿宋_GB2312" w:eastAsia="仿宋_GB2312" w:cs="仿宋_GB2312"/>
          <w:sz w:val="32"/>
          <w:szCs w:val="32"/>
        </w:rPr>
        <w:t>豫剧武功等特殊岗位从业人员不适宜继续从事原岗位的，有关主管部门以及豫剧艺术表演团体应当加强转岗培训，引导、支持其从事公共文化服务、艺术教学以及编导指导、艺术普及培训等工作。</w:t>
      </w:r>
    </w:p>
    <w:p>
      <w:pPr>
        <w:widowControl/>
        <w:autoSpaceDE w:val="0"/>
        <w:autoSpaceDN w:val="0"/>
        <w:adjustRightInd w:val="0"/>
        <w:snapToGrid w:val="0"/>
        <w:spacing w:line="360" w:lineRule="auto"/>
        <w:ind w:firstLine="640" w:firstLineChars="200"/>
        <w:textAlignment w:val="baseline"/>
        <w:rPr>
          <w:rFonts w:ascii="仿宋_GB2312" w:hAnsi="仿宋_GB2312" w:eastAsia="仿宋_GB2312" w:cs="仿宋_GB2312"/>
          <w:sz w:val="32"/>
          <w:szCs w:val="32"/>
        </w:rPr>
      </w:pPr>
      <w:r>
        <w:rPr>
          <w:rFonts w:hint="eastAsia" w:ascii="仿宋_GB2312" w:hAnsi="仿宋_GB2312" w:eastAsia="仿宋_GB2312" w:cs="仿宋_GB2312"/>
          <w:sz w:val="32"/>
          <w:szCs w:val="32"/>
        </w:rPr>
        <w:t>鼓励社会力量对豫剧从业人员中伤残等特殊困难人员进行救助，有条件的可以发起设立豫剧从业人员保障公益基金。</w:t>
      </w:r>
    </w:p>
    <w:p>
      <w:pPr>
        <w:widowControl/>
        <w:autoSpaceDE w:val="0"/>
        <w:autoSpaceDN w:val="0"/>
        <w:adjustRightInd w:val="0"/>
        <w:snapToGrid w:val="0"/>
        <w:spacing w:line="360" w:lineRule="auto"/>
        <w:ind w:firstLine="676" w:firstLineChars="200"/>
        <w:textAlignment w:val="baseline"/>
        <w:rPr>
          <w:rFonts w:ascii="仿宋_GB2312" w:hAnsi="仿宋_GB2312" w:eastAsia="仿宋_GB2312" w:cs="仿宋_GB2312"/>
          <w:sz w:val="32"/>
          <w:szCs w:val="32"/>
        </w:rPr>
      </w:pPr>
      <w:r>
        <w:rPr>
          <w:rFonts w:hint="eastAsia" w:ascii="仿宋_GB2312" w:hAnsi="仿宋_GB2312" w:eastAsia="仿宋_GB2312" w:cs="仿宋_GB2312"/>
          <w:snapToGrid w:val="0"/>
          <w:spacing w:val="9"/>
          <w:kern w:val="0"/>
          <w:sz w:val="32"/>
          <w:szCs w:val="32"/>
        </w:rPr>
        <w:t xml:space="preserve">第二十条  </w:t>
      </w:r>
      <w:r>
        <w:rPr>
          <w:rFonts w:hint="eastAsia" w:ascii="仿宋_GB2312" w:hAnsi="仿宋_GB2312" w:eastAsia="仿宋_GB2312" w:cs="仿宋_GB2312"/>
          <w:sz w:val="32"/>
          <w:szCs w:val="32"/>
        </w:rPr>
        <w:t>省和相关市、县(市、区)人民政府教育等主管部门应当指导和支持开展豫剧进校园工作：</w:t>
      </w:r>
    </w:p>
    <w:p>
      <w:pPr>
        <w:widowControl/>
        <w:autoSpaceDE w:val="0"/>
        <w:autoSpaceDN w:val="0"/>
        <w:adjustRightInd w:val="0"/>
        <w:snapToGrid w:val="0"/>
        <w:spacing w:line="360" w:lineRule="auto"/>
        <w:ind w:firstLine="640" w:firstLineChars="200"/>
        <w:textAlignment w:val="baseline"/>
        <w:rPr>
          <w:rFonts w:ascii="仿宋_GB2312" w:hAnsi="仿宋_GB2312" w:eastAsia="仿宋_GB2312" w:cs="仿宋_GB2312"/>
          <w:sz w:val="32"/>
          <w:szCs w:val="32"/>
        </w:rPr>
      </w:pPr>
      <w:r>
        <w:rPr>
          <w:rFonts w:hint="eastAsia" w:ascii="仿宋_GB2312" w:hAnsi="仿宋_GB2312" w:eastAsia="仿宋_GB2312" w:cs="仿宋_GB2312"/>
          <w:sz w:val="32"/>
          <w:szCs w:val="32"/>
        </w:rPr>
        <w:t>(一)将豫剧纳入美育教育体系，因地制宜开展豫剧教育活动，有条件的义务教育阶段学校，开展豫剧研学等活动，支持建立豫剧传承艺术特色学校；</w:t>
      </w:r>
    </w:p>
    <w:p>
      <w:pPr>
        <w:widowControl/>
        <w:autoSpaceDE w:val="0"/>
        <w:autoSpaceDN w:val="0"/>
        <w:adjustRightInd w:val="0"/>
        <w:snapToGrid w:val="0"/>
        <w:spacing w:line="360" w:lineRule="auto"/>
        <w:ind w:firstLine="640" w:firstLineChars="200"/>
        <w:textAlignment w:val="baseline"/>
        <w:rPr>
          <w:rFonts w:ascii="仿宋_GB2312" w:hAnsi="仿宋_GB2312" w:eastAsia="仿宋_GB2312" w:cs="仿宋_GB2312"/>
          <w:sz w:val="32"/>
          <w:szCs w:val="32"/>
        </w:rPr>
      </w:pPr>
      <w:r>
        <w:rPr>
          <w:rFonts w:hint="eastAsia" w:ascii="仿宋_GB2312" w:hAnsi="仿宋_GB2312" w:eastAsia="仿宋_GB2312" w:cs="仿宋_GB2312"/>
          <w:sz w:val="32"/>
          <w:szCs w:val="32"/>
        </w:rPr>
        <w:t>(二)支持学校建立多种类型的豫剧兴趣小组、校园豫剧社团、豫剧工作坊等；</w:t>
      </w:r>
    </w:p>
    <w:p>
      <w:pPr>
        <w:widowControl/>
        <w:autoSpaceDE w:val="0"/>
        <w:autoSpaceDN w:val="0"/>
        <w:adjustRightInd w:val="0"/>
        <w:snapToGrid w:val="0"/>
        <w:spacing w:line="360" w:lineRule="auto"/>
        <w:ind w:firstLine="640" w:firstLineChars="200"/>
        <w:textAlignment w:val="baseline"/>
        <w:rPr>
          <w:rFonts w:ascii="仿宋_GB2312" w:hAnsi="仿宋_GB2312" w:eastAsia="仿宋_GB2312" w:cs="仿宋_GB2312"/>
          <w:sz w:val="32"/>
          <w:szCs w:val="32"/>
        </w:rPr>
      </w:pPr>
      <w:r>
        <w:rPr>
          <w:rFonts w:hint="eastAsia" w:ascii="仿宋_GB2312" w:hAnsi="仿宋_GB2312" w:eastAsia="仿宋_GB2312" w:cs="仿宋_GB2312"/>
          <w:sz w:val="32"/>
          <w:szCs w:val="32"/>
        </w:rPr>
        <w:t>(三)支持有条件的学校特聘校外豫剧从业人员担任兼职艺术教师；</w:t>
      </w:r>
    </w:p>
    <w:p>
      <w:pPr>
        <w:widowControl/>
        <w:autoSpaceDE w:val="0"/>
        <w:autoSpaceDN w:val="0"/>
        <w:adjustRightInd w:val="0"/>
        <w:snapToGrid w:val="0"/>
        <w:spacing w:line="360" w:lineRule="auto"/>
        <w:ind w:firstLine="640" w:firstLineChars="200"/>
        <w:textAlignment w:val="baseline"/>
        <w:rPr>
          <w:rFonts w:ascii="仿宋_GB2312" w:hAnsi="仿宋_GB2312" w:eastAsia="仿宋_GB2312" w:cs="仿宋_GB2312"/>
          <w:sz w:val="32"/>
          <w:szCs w:val="32"/>
        </w:rPr>
      </w:pPr>
      <w:r>
        <w:rPr>
          <w:rFonts w:hint="eastAsia" w:ascii="仿宋_GB2312" w:hAnsi="仿宋_GB2312" w:eastAsia="仿宋_GB2312" w:cs="仿宋_GB2312"/>
          <w:sz w:val="32"/>
          <w:szCs w:val="32"/>
        </w:rPr>
        <w:t>(四)支持豫剧艺术表演团体以及从业人员到学校开展演出、讲座活动；</w:t>
      </w:r>
    </w:p>
    <w:p>
      <w:pPr>
        <w:widowControl/>
        <w:autoSpaceDE w:val="0"/>
        <w:autoSpaceDN w:val="0"/>
        <w:adjustRightInd w:val="0"/>
        <w:snapToGrid w:val="0"/>
        <w:spacing w:line="360" w:lineRule="auto"/>
        <w:ind w:firstLine="640" w:firstLineChars="200"/>
        <w:textAlignment w:val="baseline"/>
        <w:rPr>
          <w:rFonts w:ascii="仿宋_GB2312" w:hAnsi="仿宋_GB2312" w:eastAsia="仿宋_GB2312" w:cs="仿宋_GB2312"/>
          <w:sz w:val="32"/>
          <w:szCs w:val="32"/>
        </w:rPr>
      </w:pPr>
      <w:r>
        <w:rPr>
          <w:rFonts w:hint="eastAsia" w:ascii="仿宋_GB2312" w:hAnsi="仿宋_GB2312" w:eastAsia="仿宋_GB2312" w:cs="仿宋_GB2312"/>
          <w:sz w:val="32"/>
          <w:szCs w:val="32"/>
        </w:rPr>
        <w:t>(五)支持学校采取多种形式，组织学生免费欣赏优秀豫剧演出；</w:t>
      </w:r>
    </w:p>
    <w:p>
      <w:pPr>
        <w:widowControl/>
        <w:autoSpaceDE w:val="0"/>
        <w:autoSpaceDN w:val="0"/>
        <w:adjustRightInd w:val="0"/>
        <w:snapToGrid w:val="0"/>
        <w:spacing w:line="360" w:lineRule="auto"/>
        <w:ind w:firstLine="640" w:firstLineChars="200"/>
        <w:textAlignment w:val="baseline"/>
        <w:rPr>
          <w:rFonts w:ascii="仿宋_GB2312" w:hAnsi="仿宋_GB2312" w:eastAsia="仿宋_GB2312" w:cs="仿宋_GB2312"/>
          <w:sz w:val="32"/>
          <w:szCs w:val="32"/>
        </w:rPr>
      </w:pPr>
      <w:r>
        <w:rPr>
          <w:rFonts w:hint="eastAsia" w:ascii="仿宋_GB2312" w:hAnsi="仿宋_GB2312" w:eastAsia="仿宋_GB2312" w:cs="仿宋_GB2312"/>
          <w:sz w:val="32"/>
          <w:szCs w:val="32"/>
        </w:rPr>
        <w:t>(六)支持搭建豫剧教育、教学、科研成果展示平台，举办中小学豫剧传习普及展演活动。</w:t>
      </w:r>
    </w:p>
    <w:p>
      <w:pPr>
        <w:widowControl/>
        <w:numPr>
          <w:ilvl w:val="0"/>
          <w:numId w:val="1"/>
        </w:numPr>
        <w:autoSpaceDE w:val="0"/>
        <w:autoSpaceDN w:val="0"/>
        <w:adjustRightInd w:val="0"/>
        <w:snapToGrid w:val="0"/>
        <w:spacing w:after="156" w:afterLines="50" w:line="360" w:lineRule="auto"/>
        <w:ind w:right="91" w:firstLine="584"/>
        <w:jc w:val="center"/>
        <w:textAlignment w:val="baseline"/>
        <w:rPr>
          <w:rFonts w:ascii="黑体" w:hAnsi="黑体" w:eastAsia="黑体" w:cs="黑体"/>
          <w:bCs/>
          <w:sz w:val="32"/>
          <w:szCs w:val="32"/>
        </w:rPr>
      </w:pPr>
      <w:r>
        <w:rPr>
          <w:rFonts w:hint="eastAsia" w:ascii="黑体" w:hAnsi="黑体" w:eastAsia="黑体" w:cs="黑体"/>
          <w:bCs/>
          <w:sz w:val="32"/>
          <w:szCs w:val="32"/>
        </w:rPr>
        <w:t xml:space="preserve"> 创新发展</w:t>
      </w:r>
    </w:p>
    <w:p>
      <w:pPr>
        <w:widowControl/>
        <w:autoSpaceDE w:val="0"/>
        <w:autoSpaceDN w:val="0"/>
        <w:adjustRightInd w:val="0"/>
        <w:snapToGrid w:val="0"/>
        <w:spacing w:line="360" w:lineRule="auto"/>
        <w:ind w:firstLine="676" w:firstLineChars="200"/>
        <w:textAlignment w:val="baseline"/>
        <w:rPr>
          <w:rFonts w:ascii="仿宋_GB2312" w:hAnsi="仿宋_GB2312" w:eastAsia="仿宋_GB2312" w:cs="仿宋_GB2312"/>
          <w:sz w:val="32"/>
          <w:szCs w:val="32"/>
        </w:rPr>
      </w:pPr>
      <w:r>
        <w:rPr>
          <w:rFonts w:hint="eastAsia" w:ascii="仿宋_GB2312" w:hAnsi="仿宋_GB2312" w:eastAsia="仿宋_GB2312" w:cs="仿宋_GB2312"/>
          <w:snapToGrid w:val="0"/>
          <w:spacing w:val="9"/>
          <w:kern w:val="0"/>
          <w:sz w:val="32"/>
          <w:szCs w:val="32"/>
        </w:rPr>
        <w:t xml:space="preserve">第二十一条  </w:t>
      </w:r>
      <w:r>
        <w:rPr>
          <w:rFonts w:hint="eastAsia" w:ascii="仿宋_GB2312" w:hAnsi="仿宋_GB2312" w:eastAsia="仿宋_GB2312" w:cs="仿宋_GB2312"/>
          <w:sz w:val="32"/>
          <w:szCs w:val="32"/>
        </w:rPr>
        <w:t>省和相关市、县(市、区)人民政府文化和旅游主管部门应当加强对豫剧艺术表演团体的指导，提升豫剧艺术创作水平，完善豫剧创作演出评价机制；组织对濒临失传的经典传统剧目、曲牌进行记录整理和复排演出；通过公开征集、买断移植等方式扶持新编原创和整理改编的优秀豫剧剧本；利用文化资源数据库，逐步完善豫剧剧目等数据共享平台。</w:t>
      </w:r>
    </w:p>
    <w:p>
      <w:pPr>
        <w:widowControl/>
        <w:autoSpaceDE w:val="0"/>
        <w:autoSpaceDN w:val="0"/>
        <w:adjustRightInd w:val="0"/>
        <w:snapToGrid w:val="0"/>
        <w:spacing w:line="360" w:lineRule="auto"/>
        <w:ind w:firstLine="676" w:firstLineChars="200"/>
        <w:textAlignment w:val="baseline"/>
        <w:rPr>
          <w:rFonts w:ascii="仿宋_GB2312" w:hAnsi="仿宋_GB2312" w:eastAsia="仿宋_GB2312" w:cs="仿宋_GB2312"/>
          <w:sz w:val="32"/>
          <w:szCs w:val="32"/>
        </w:rPr>
      </w:pPr>
      <w:r>
        <w:rPr>
          <w:rFonts w:hint="eastAsia" w:ascii="仿宋_GB2312" w:hAnsi="仿宋_GB2312" w:eastAsia="仿宋_GB2312" w:cs="仿宋_GB2312"/>
          <w:snapToGrid w:val="0"/>
          <w:spacing w:val="9"/>
          <w:kern w:val="0"/>
          <w:sz w:val="32"/>
          <w:szCs w:val="32"/>
        </w:rPr>
        <w:t xml:space="preserve">第二十二条  </w:t>
      </w:r>
      <w:r>
        <w:rPr>
          <w:rFonts w:hint="eastAsia" w:ascii="仿宋_GB2312" w:hAnsi="仿宋_GB2312" w:eastAsia="仿宋_GB2312" w:cs="仿宋_GB2312"/>
          <w:sz w:val="32"/>
          <w:szCs w:val="32"/>
        </w:rPr>
        <w:t>豫剧艺术表演团体应当深入生活、扎根人民，创作面向群众、面向基层、面向市场，体现优秀传统文化和时代特征的优秀剧目。</w:t>
      </w:r>
    </w:p>
    <w:p>
      <w:pPr>
        <w:widowControl/>
        <w:autoSpaceDE w:val="0"/>
        <w:autoSpaceDN w:val="0"/>
        <w:adjustRightInd w:val="0"/>
        <w:snapToGrid w:val="0"/>
        <w:spacing w:line="360" w:lineRule="auto"/>
        <w:ind w:firstLine="640" w:firstLineChars="200"/>
        <w:textAlignment w:val="baseline"/>
        <w:rPr>
          <w:rFonts w:ascii="仿宋_GB2312" w:hAnsi="仿宋_GB2312" w:eastAsia="仿宋_GB2312" w:cs="仿宋_GB2312"/>
          <w:sz w:val="32"/>
          <w:szCs w:val="32"/>
        </w:rPr>
      </w:pPr>
      <w:r>
        <w:rPr>
          <w:rFonts w:hint="eastAsia" w:ascii="仿宋_GB2312" w:hAnsi="仿宋_GB2312" w:eastAsia="仿宋_GB2312" w:cs="仿宋_GB2312"/>
          <w:sz w:val="32"/>
          <w:szCs w:val="32"/>
        </w:rPr>
        <w:t>国有豫剧艺术表演团体应当加强艺术创作规划，整理改编传统剧目、新编古代戏剧目、创作现代戏剧目；加大剧目创作、表演形式、唱腔音乐、舞美设计等改革创新力度，创作、编排、演出适合不同演出条件、不同群体观演需求、版本多样化的优秀剧目。</w:t>
      </w:r>
    </w:p>
    <w:p>
      <w:pPr>
        <w:widowControl/>
        <w:autoSpaceDE w:val="0"/>
        <w:autoSpaceDN w:val="0"/>
        <w:adjustRightInd w:val="0"/>
        <w:snapToGrid w:val="0"/>
        <w:spacing w:line="360" w:lineRule="auto"/>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鼓励豫剧艺术表演团体结合市场需要，创作、编排体现中原文化的豫剧小型剧目，推动豫剧走出剧院，走进生活场景。</w:t>
      </w:r>
    </w:p>
    <w:p>
      <w:pPr>
        <w:widowControl/>
        <w:autoSpaceDE w:val="0"/>
        <w:autoSpaceDN w:val="0"/>
        <w:adjustRightInd w:val="0"/>
        <w:snapToGrid w:val="0"/>
        <w:spacing w:line="360" w:lineRule="auto"/>
        <w:ind w:firstLine="640" w:firstLineChars="200"/>
        <w:textAlignment w:val="baseline"/>
        <w:rPr>
          <w:rFonts w:ascii="仿宋_GB2312" w:hAnsi="仿宋_GB2312" w:eastAsia="仿宋_GB2312" w:cs="仿宋_GB2312"/>
          <w:sz w:val="32"/>
          <w:szCs w:val="32"/>
        </w:rPr>
      </w:pPr>
      <w:r>
        <w:rPr>
          <w:rFonts w:hint="eastAsia" w:ascii="仿宋_GB2312" w:hAnsi="仿宋_GB2312" w:eastAsia="仿宋_GB2312" w:cs="仿宋_GB2312"/>
          <w:sz w:val="32"/>
          <w:szCs w:val="32"/>
        </w:rPr>
        <w:t>鼓励民间演出活动，奠定豫剧发展的社会基础和活力</w:t>
      </w:r>
    </w:p>
    <w:p>
      <w:pPr>
        <w:widowControl/>
        <w:autoSpaceDE w:val="0"/>
        <w:autoSpaceDN w:val="0"/>
        <w:adjustRightInd w:val="0"/>
        <w:snapToGrid w:val="0"/>
        <w:spacing w:line="360" w:lineRule="auto"/>
        <w:ind w:firstLine="640" w:firstLineChars="200"/>
        <w:textAlignment w:val="baseline"/>
        <w:rPr>
          <w:rFonts w:ascii="仿宋_GB2312" w:hAnsi="仿宋_GB2312" w:eastAsia="仿宋_GB2312" w:cs="仿宋_GB2312"/>
          <w:sz w:val="32"/>
          <w:szCs w:val="32"/>
        </w:rPr>
      </w:pPr>
      <w:r>
        <w:rPr>
          <w:rFonts w:hint="eastAsia" w:ascii="仿宋_GB2312" w:hAnsi="仿宋_GB2312" w:eastAsia="仿宋_GB2312" w:cs="仿宋_GB2312"/>
          <w:sz w:val="32"/>
          <w:szCs w:val="32"/>
        </w:rPr>
        <w:t>豫剧艺术表演团体应当建立业务联系交流机制，共同开展好选题策划、剧本创作、演出展示、传播推广等活动，提升表演水平。</w:t>
      </w:r>
    </w:p>
    <w:p>
      <w:pPr>
        <w:widowControl/>
        <w:autoSpaceDE w:val="0"/>
        <w:autoSpaceDN w:val="0"/>
        <w:adjustRightInd w:val="0"/>
        <w:snapToGrid w:val="0"/>
        <w:spacing w:line="360" w:lineRule="auto"/>
        <w:ind w:firstLine="676" w:firstLineChars="200"/>
        <w:textAlignment w:val="baseline"/>
        <w:rPr>
          <w:rFonts w:ascii="仿宋_GB2312" w:hAnsi="仿宋_GB2312" w:eastAsia="仿宋_GB2312" w:cs="仿宋_GB2312"/>
          <w:sz w:val="32"/>
          <w:szCs w:val="32"/>
        </w:rPr>
      </w:pPr>
      <w:r>
        <w:rPr>
          <w:rFonts w:hint="eastAsia" w:ascii="仿宋_GB2312" w:hAnsi="仿宋_GB2312" w:eastAsia="仿宋_GB2312" w:cs="仿宋_GB2312"/>
          <w:snapToGrid w:val="0"/>
          <w:spacing w:val="9"/>
          <w:kern w:val="0"/>
          <w:sz w:val="32"/>
          <w:szCs w:val="32"/>
        </w:rPr>
        <w:t xml:space="preserve">第二十三条  </w:t>
      </w:r>
      <w:r>
        <w:rPr>
          <w:rFonts w:hint="eastAsia" w:ascii="仿宋_GB2312" w:hAnsi="仿宋_GB2312" w:eastAsia="仿宋_GB2312" w:cs="仿宋_GB2312"/>
          <w:sz w:val="32"/>
          <w:szCs w:val="32"/>
        </w:rPr>
        <w:t>省和相关市、县(市、区)人民政府应当将豫剧保护传承发展纳入本地基本公共服务标准和公共文化服务目录，通过政府购买服务等方式，开展以下活动：</w:t>
      </w:r>
    </w:p>
    <w:p>
      <w:pPr>
        <w:widowControl/>
        <w:autoSpaceDE w:val="0"/>
        <w:autoSpaceDN w:val="0"/>
        <w:adjustRightInd w:val="0"/>
        <w:snapToGrid w:val="0"/>
        <w:spacing w:line="360" w:lineRule="auto"/>
        <w:ind w:firstLine="640" w:firstLineChars="200"/>
        <w:textAlignment w:val="baseline"/>
        <w:rPr>
          <w:rFonts w:ascii="仿宋_GB2312" w:hAnsi="仿宋_GB2312" w:eastAsia="仿宋_GB2312" w:cs="仿宋_GB2312"/>
          <w:sz w:val="32"/>
          <w:szCs w:val="32"/>
        </w:rPr>
      </w:pPr>
      <w:r>
        <w:rPr>
          <w:rFonts w:hint="eastAsia" w:ascii="仿宋_GB2312" w:hAnsi="仿宋_GB2312" w:eastAsia="仿宋_GB2312" w:cs="仿宋_GB2312"/>
          <w:sz w:val="32"/>
          <w:szCs w:val="32"/>
        </w:rPr>
        <w:t>(一)组织豫剧艺术表演团体到乡(镇)、街道、村(社区)、企业和其他基层单位开展巡演；</w:t>
      </w:r>
    </w:p>
    <w:p>
      <w:pPr>
        <w:widowControl/>
        <w:autoSpaceDE w:val="0"/>
        <w:autoSpaceDN w:val="0"/>
        <w:adjustRightInd w:val="0"/>
        <w:snapToGrid w:val="0"/>
        <w:spacing w:line="360" w:lineRule="auto"/>
        <w:ind w:firstLine="640" w:firstLineChars="200"/>
        <w:textAlignment w:val="baseline"/>
        <w:rPr>
          <w:rFonts w:ascii="仿宋_GB2312" w:hAnsi="仿宋_GB2312" w:eastAsia="仿宋_GB2312" w:cs="仿宋_GB2312"/>
          <w:sz w:val="32"/>
          <w:szCs w:val="32"/>
        </w:rPr>
      </w:pPr>
      <w:r>
        <w:rPr>
          <w:rFonts w:hint="eastAsia" w:ascii="仿宋_GB2312" w:hAnsi="仿宋_GB2312" w:eastAsia="仿宋_GB2312" w:cs="仿宋_GB2312"/>
          <w:sz w:val="32"/>
          <w:szCs w:val="32"/>
        </w:rPr>
        <w:t>(二)支持豫剧艺术表演团体、豫剧社会组织开展公益性演出活动和豫剧优秀剧目惠民演出；</w:t>
      </w:r>
    </w:p>
    <w:p>
      <w:pPr>
        <w:widowControl/>
        <w:autoSpaceDE w:val="0"/>
        <w:autoSpaceDN w:val="0"/>
        <w:adjustRightInd w:val="0"/>
        <w:snapToGrid w:val="0"/>
        <w:spacing w:line="360" w:lineRule="auto"/>
        <w:ind w:firstLine="640" w:firstLineChars="200"/>
        <w:textAlignment w:val="baseline"/>
        <w:rPr>
          <w:rFonts w:ascii="仿宋_GB2312" w:hAnsi="仿宋_GB2312" w:eastAsia="仿宋_GB2312" w:cs="仿宋_GB2312"/>
          <w:sz w:val="32"/>
          <w:szCs w:val="32"/>
        </w:rPr>
      </w:pPr>
      <w:r>
        <w:rPr>
          <w:rFonts w:hint="eastAsia" w:ascii="仿宋_GB2312" w:hAnsi="仿宋_GB2312" w:eastAsia="仿宋_GB2312" w:cs="仿宋_GB2312"/>
          <w:sz w:val="32"/>
          <w:szCs w:val="32"/>
        </w:rPr>
        <w:t>(三)豫剧理论研究、剧目评论、剧本创作；</w:t>
      </w:r>
    </w:p>
    <w:p>
      <w:pPr>
        <w:widowControl/>
        <w:autoSpaceDE w:val="0"/>
        <w:autoSpaceDN w:val="0"/>
        <w:adjustRightInd w:val="0"/>
        <w:snapToGrid w:val="0"/>
        <w:spacing w:line="360" w:lineRule="auto"/>
        <w:ind w:firstLine="640" w:firstLineChars="200"/>
        <w:textAlignment w:val="baseline"/>
        <w:rPr>
          <w:rFonts w:ascii="仿宋_GB2312" w:hAnsi="仿宋_GB2312" w:eastAsia="仿宋_GB2312" w:cs="仿宋_GB2312"/>
          <w:sz w:val="32"/>
          <w:szCs w:val="32"/>
        </w:rPr>
      </w:pPr>
      <w:r>
        <w:rPr>
          <w:rFonts w:hint="eastAsia" w:ascii="仿宋_GB2312" w:hAnsi="仿宋_GB2312" w:eastAsia="仿宋_GB2312" w:cs="仿宋_GB2312"/>
          <w:sz w:val="32"/>
          <w:szCs w:val="32"/>
        </w:rPr>
        <w:t>(四)豫剧保护和发展的其他公益性活动。</w:t>
      </w:r>
    </w:p>
    <w:p>
      <w:pPr>
        <w:widowControl/>
        <w:autoSpaceDE w:val="0"/>
        <w:autoSpaceDN w:val="0"/>
        <w:adjustRightInd w:val="0"/>
        <w:snapToGrid w:val="0"/>
        <w:spacing w:line="360" w:lineRule="auto"/>
        <w:ind w:firstLine="676" w:firstLineChars="200"/>
        <w:textAlignment w:val="baseline"/>
        <w:rPr>
          <w:rFonts w:ascii="仿宋_GB2312" w:hAnsi="仿宋_GB2312" w:eastAsia="仿宋_GB2312" w:cs="仿宋_GB2312"/>
          <w:sz w:val="32"/>
          <w:szCs w:val="32"/>
        </w:rPr>
      </w:pPr>
      <w:r>
        <w:rPr>
          <w:rFonts w:hint="eastAsia" w:ascii="仿宋_GB2312" w:hAnsi="仿宋_GB2312" w:eastAsia="仿宋_GB2312" w:cs="仿宋_GB2312"/>
          <w:snapToGrid w:val="0"/>
          <w:spacing w:val="9"/>
          <w:kern w:val="0"/>
          <w:sz w:val="32"/>
          <w:szCs w:val="32"/>
        </w:rPr>
        <w:t xml:space="preserve">第二十四条  </w:t>
      </w:r>
      <w:r>
        <w:rPr>
          <w:rFonts w:hint="eastAsia" w:ascii="仿宋_GB2312" w:hAnsi="仿宋_GB2312" w:eastAsia="仿宋_GB2312" w:cs="仿宋_GB2312"/>
          <w:sz w:val="32"/>
          <w:szCs w:val="32"/>
        </w:rPr>
        <w:t>省和相关市、县(市、区)人民政府应支持豫剧艺术表演团体、创作研究机构和个人参加重大艺术赛事和对外文化交流活动，多形式开展豫剧演出交流。</w:t>
      </w:r>
    </w:p>
    <w:p>
      <w:pPr>
        <w:widowControl/>
        <w:autoSpaceDE w:val="0"/>
        <w:autoSpaceDN w:val="0"/>
        <w:adjustRightInd w:val="0"/>
        <w:snapToGrid w:val="0"/>
        <w:spacing w:line="360" w:lineRule="auto"/>
        <w:ind w:firstLine="640" w:firstLineChars="200"/>
        <w:textAlignment w:val="baseline"/>
        <w:rPr>
          <w:rFonts w:ascii="仿宋_GB2312" w:hAnsi="仿宋_GB2312" w:eastAsia="仿宋_GB2312" w:cs="仿宋_GB2312"/>
          <w:sz w:val="32"/>
          <w:szCs w:val="32"/>
        </w:rPr>
      </w:pPr>
      <w:r>
        <w:rPr>
          <w:rFonts w:hint="eastAsia" w:ascii="仿宋_GB2312" w:hAnsi="仿宋_GB2312" w:eastAsia="仿宋_GB2312" w:cs="仿宋_GB2312"/>
          <w:sz w:val="32"/>
          <w:szCs w:val="32"/>
        </w:rPr>
        <w:t>省和相关市、县(市、区)人民政府文化和旅游主管部门应当开通政府间合作等沟通协调渠道，不断拓展豫剧流布范围和演出市场，支持豫剧艺术表演团体开拓演出市场，开展驻场演出、巡回演出、展演汇演等演出活动。根据省外豫剧流布情况和市场需求，组织、协助豫剧演出团体到省外开拓演出市场、培育当地豫剧演出机构及演出人才。</w:t>
      </w:r>
    </w:p>
    <w:p>
      <w:pPr>
        <w:widowControl/>
        <w:autoSpaceDE w:val="0"/>
        <w:autoSpaceDN w:val="0"/>
        <w:adjustRightInd w:val="0"/>
        <w:snapToGrid w:val="0"/>
        <w:spacing w:line="360" w:lineRule="auto"/>
        <w:ind w:firstLine="676" w:firstLineChars="200"/>
        <w:textAlignment w:val="baseline"/>
        <w:rPr>
          <w:rFonts w:ascii="仿宋_GB2312" w:hAnsi="仿宋_GB2312" w:eastAsia="仿宋_GB2312" w:cs="仿宋_GB2312"/>
          <w:sz w:val="32"/>
          <w:szCs w:val="32"/>
        </w:rPr>
      </w:pPr>
      <w:r>
        <w:rPr>
          <w:rFonts w:hint="eastAsia" w:ascii="仿宋_GB2312" w:hAnsi="仿宋_GB2312" w:eastAsia="仿宋_GB2312" w:cs="仿宋_GB2312"/>
          <w:snapToGrid w:val="0"/>
          <w:spacing w:val="9"/>
          <w:kern w:val="0"/>
          <w:sz w:val="32"/>
          <w:szCs w:val="32"/>
        </w:rPr>
        <w:t xml:space="preserve">第二十五条  </w:t>
      </w:r>
      <w:r>
        <w:rPr>
          <w:rFonts w:hint="eastAsia" w:ascii="仿宋_GB2312" w:hAnsi="仿宋_GB2312" w:eastAsia="仿宋_GB2312" w:cs="仿宋_GB2312"/>
          <w:sz w:val="32"/>
          <w:szCs w:val="32"/>
        </w:rPr>
        <w:t>省和相关市、县(市、区)人民政府文化和旅游、教育、广播电视等有关部门应当加大宣传力度，组织开展豫剧传播推广、展示展演等活动，提高豫剧文化影响力。</w:t>
      </w:r>
    </w:p>
    <w:p>
      <w:pPr>
        <w:widowControl/>
        <w:autoSpaceDE w:val="0"/>
        <w:autoSpaceDN w:val="0"/>
        <w:adjustRightInd w:val="0"/>
        <w:snapToGrid w:val="0"/>
        <w:spacing w:line="360" w:lineRule="auto"/>
        <w:ind w:firstLine="640" w:firstLineChars="200"/>
        <w:textAlignment w:val="baseline"/>
        <w:rPr>
          <w:rFonts w:ascii="仿宋_GB2312" w:hAnsi="仿宋_GB2312" w:eastAsia="仿宋_GB2312" w:cs="仿宋_GB2312"/>
          <w:sz w:val="32"/>
          <w:szCs w:val="32"/>
        </w:rPr>
      </w:pPr>
      <w:r>
        <w:rPr>
          <w:rFonts w:hint="eastAsia" w:ascii="仿宋_GB2312" w:hAnsi="仿宋_GB2312" w:eastAsia="仿宋_GB2312" w:cs="仿宋_GB2312"/>
          <w:sz w:val="32"/>
          <w:szCs w:val="32"/>
        </w:rPr>
        <w:t>鼓励各类媒体灵活运用多种形式、平台，设立专栏、专题节目、公众号等，广泛宣传、普及、推广豫剧艺术。</w:t>
      </w:r>
    </w:p>
    <w:p>
      <w:pPr>
        <w:widowControl/>
        <w:autoSpaceDE w:val="0"/>
        <w:autoSpaceDN w:val="0"/>
        <w:adjustRightInd w:val="0"/>
        <w:snapToGrid w:val="0"/>
        <w:spacing w:line="360" w:lineRule="auto"/>
        <w:ind w:firstLine="640" w:firstLineChars="200"/>
        <w:textAlignment w:val="baseline"/>
        <w:rPr>
          <w:rFonts w:ascii="仿宋_GB2312" w:hAnsi="仿宋_GB2312" w:eastAsia="仿宋_GB2312" w:cs="仿宋_GB2312"/>
          <w:sz w:val="32"/>
          <w:szCs w:val="32"/>
        </w:rPr>
      </w:pPr>
      <w:r>
        <w:rPr>
          <w:rFonts w:hint="eastAsia" w:ascii="仿宋_GB2312" w:hAnsi="仿宋_GB2312" w:eastAsia="仿宋_GB2312" w:cs="仿宋_GB2312"/>
          <w:sz w:val="32"/>
          <w:szCs w:val="32"/>
        </w:rPr>
        <w:t>鼓励利用公共场所和公共交通工具的宣传载体开展豫剧公益性宣传。</w:t>
      </w:r>
    </w:p>
    <w:p>
      <w:pPr>
        <w:widowControl/>
        <w:autoSpaceDE w:val="0"/>
        <w:autoSpaceDN w:val="0"/>
        <w:adjustRightInd w:val="0"/>
        <w:snapToGrid w:val="0"/>
        <w:spacing w:line="360" w:lineRule="auto"/>
        <w:ind w:firstLine="676" w:firstLineChars="200"/>
        <w:textAlignment w:val="baseline"/>
        <w:rPr>
          <w:rFonts w:ascii="仿宋_GB2312" w:hAnsi="仿宋_GB2312" w:eastAsia="仿宋_GB2312" w:cs="仿宋_GB2312"/>
          <w:sz w:val="32"/>
          <w:szCs w:val="32"/>
        </w:rPr>
      </w:pPr>
      <w:r>
        <w:rPr>
          <w:rFonts w:hint="eastAsia" w:ascii="仿宋_GB2312" w:hAnsi="仿宋_GB2312" w:eastAsia="仿宋_GB2312" w:cs="仿宋_GB2312"/>
          <w:snapToGrid w:val="0"/>
          <w:spacing w:val="9"/>
          <w:kern w:val="0"/>
          <w:sz w:val="32"/>
          <w:szCs w:val="32"/>
        </w:rPr>
        <w:t xml:space="preserve">第二十六条  </w:t>
      </w:r>
      <w:r>
        <w:rPr>
          <w:rFonts w:hint="eastAsia" w:ascii="仿宋_GB2312" w:hAnsi="仿宋_GB2312" w:eastAsia="仿宋_GB2312" w:cs="仿宋_GB2312"/>
          <w:sz w:val="32"/>
          <w:szCs w:val="32"/>
        </w:rPr>
        <w:t>省和相关市、县(市、区)人民政府文化和旅游主管部门应当推动豫剧与科技应用深度融合，加强豫剧文献档案、剧目表演、唱腔曲牌、影音资料等数字化建设，支持建立豫剧数字博物馆、豫剧资源数据库和信息共享交流网络平台，开展数字化保护。</w:t>
      </w:r>
    </w:p>
    <w:p>
      <w:pPr>
        <w:widowControl/>
        <w:autoSpaceDE w:val="0"/>
        <w:autoSpaceDN w:val="0"/>
        <w:adjustRightInd w:val="0"/>
        <w:snapToGrid w:val="0"/>
        <w:spacing w:line="360" w:lineRule="auto"/>
        <w:ind w:firstLine="640" w:firstLineChars="200"/>
        <w:textAlignment w:val="baseline"/>
        <w:rPr>
          <w:rFonts w:ascii="仿宋_GB2312" w:hAnsi="仿宋_GB2312" w:eastAsia="仿宋_GB2312" w:cs="仿宋_GB2312"/>
          <w:sz w:val="32"/>
          <w:szCs w:val="32"/>
        </w:rPr>
      </w:pPr>
      <w:r>
        <w:rPr>
          <w:rFonts w:hint="eastAsia" w:ascii="仿宋_GB2312" w:hAnsi="仿宋_GB2312" w:eastAsia="仿宋_GB2312" w:cs="仿宋_GB2312"/>
          <w:sz w:val="32"/>
          <w:szCs w:val="32"/>
        </w:rPr>
        <w:t>鼓励豫剧艺术表演团体加强与互联网平台合作，建设在线剧院、数字剧场，制作适合网络观演的豫剧剧目、动漫、影视剧和短视频等优秀作品，提高网络生产、传播、营销能力，培育发展网络演播新业态。</w:t>
      </w:r>
    </w:p>
    <w:p>
      <w:pPr>
        <w:widowControl/>
        <w:autoSpaceDE w:val="0"/>
        <w:autoSpaceDN w:val="0"/>
        <w:adjustRightInd w:val="0"/>
        <w:snapToGrid w:val="0"/>
        <w:spacing w:line="360" w:lineRule="auto"/>
        <w:ind w:firstLine="640" w:firstLineChars="200"/>
        <w:textAlignment w:val="baseline"/>
        <w:rPr>
          <w:rFonts w:ascii="仿宋_GB2312" w:hAnsi="仿宋_GB2312" w:eastAsia="仿宋_GB2312" w:cs="仿宋_GB2312"/>
          <w:sz w:val="32"/>
          <w:szCs w:val="32"/>
        </w:rPr>
      </w:pPr>
      <w:r>
        <w:rPr>
          <w:rFonts w:hint="eastAsia" w:ascii="仿宋_GB2312" w:hAnsi="仿宋_GB2312" w:eastAsia="仿宋_GB2312" w:cs="仿宋_GB2312"/>
          <w:sz w:val="32"/>
          <w:szCs w:val="32"/>
        </w:rPr>
        <w:t>鼓励豫剧代表性传承人、豫剧从业人员等制作视频，利用信息共享交流网络平台和互联网进行教学，宣传、普及豫剧知识。</w:t>
      </w:r>
    </w:p>
    <w:p>
      <w:pPr>
        <w:widowControl/>
        <w:autoSpaceDE w:val="0"/>
        <w:autoSpaceDN w:val="0"/>
        <w:adjustRightInd w:val="0"/>
        <w:snapToGrid w:val="0"/>
        <w:spacing w:line="360" w:lineRule="auto"/>
        <w:ind w:firstLine="676" w:firstLineChars="200"/>
        <w:textAlignment w:val="baseline"/>
        <w:rPr>
          <w:rFonts w:ascii="仿宋_GB2312" w:hAnsi="仿宋_GB2312" w:eastAsia="仿宋_GB2312" w:cs="仿宋_GB2312"/>
          <w:sz w:val="32"/>
          <w:szCs w:val="32"/>
        </w:rPr>
      </w:pPr>
      <w:r>
        <w:rPr>
          <w:rFonts w:hint="eastAsia" w:ascii="仿宋_GB2312" w:hAnsi="仿宋_GB2312" w:eastAsia="仿宋_GB2312" w:cs="仿宋_GB2312"/>
          <w:snapToGrid w:val="0"/>
          <w:spacing w:val="9"/>
          <w:kern w:val="0"/>
          <w:sz w:val="32"/>
          <w:szCs w:val="32"/>
        </w:rPr>
        <w:t xml:space="preserve">第二十七条  </w:t>
      </w:r>
      <w:r>
        <w:rPr>
          <w:rFonts w:hint="eastAsia" w:ascii="仿宋_GB2312" w:hAnsi="仿宋_GB2312" w:eastAsia="仿宋_GB2312" w:cs="仿宋_GB2312"/>
          <w:sz w:val="32"/>
          <w:szCs w:val="32"/>
        </w:rPr>
        <w:t>省和相关市、县(市、区)人民政府文化和旅游主管部门应当通过以下方式推动豫剧与旅游深度融合，优化资源配置，发挥社会力量和市场机制作用：</w:t>
      </w:r>
    </w:p>
    <w:p>
      <w:pPr>
        <w:widowControl/>
        <w:autoSpaceDE w:val="0"/>
        <w:autoSpaceDN w:val="0"/>
        <w:adjustRightInd w:val="0"/>
        <w:snapToGrid w:val="0"/>
        <w:spacing w:line="360" w:lineRule="auto"/>
        <w:ind w:firstLine="640" w:firstLineChars="200"/>
        <w:textAlignment w:val="baseline"/>
        <w:rPr>
          <w:rFonts w:ascii="仿宋_GB2312" w:hAnsi="仿宋_GB2312" w:eastAsia="仿宋_GB2312" w:cs="仿宋_GB2312"/>
          <w:sz w:val="32"/>
          <w:szCs w:val="32"/>
        </w:rPr>
      </w:pPr>
      <w:r>
        <w:rPr>
          <w:rFonts w:hint="eastAsia" w:ascii="仿宋_GB2312" w:hAnsi="仿宋_GB2312" w:eastAsia="仿宋_GB2312" w:cs="仿宋_GB2312"/>
          <w:sz w:val="32"/>
          <w:szCs w:val="32"/>
        </w:rPr>
        <w:t>(一)鼓励和支持合理利用优秀人文资源和优质自然资源，推出具有豫剧艺术特色的旅游演艺项目、沉浸式体验场景和主题旅游线路、研学旅游产品，建设豫剧艺术主题街区；</w:t>
      </w:r>
    </w:p>
    <w:p>
      <w:pPr>
        <w:widowControl/>
        <w:autoSpaceDE w:val="0"/>
        <w:autoSpaceDN w:val="0"/>
        <w:adjustRightInd w:val="0"/>
        <w:snapToGrid w:val="0"/>
        <w:spacing w:line="360" w:lineRule="auto"/>
        <w:ind w:firstLine="640" w:firstLineChars="200"/>
        <w:textAlignment w:val="baseline"/>
        <w:rPr>
          <w:rFonts w:ascii="仿宋_GB2312" w:hAnsi="仿宋_GB2312" w:eastAsia="仿宋_GB2312" w:cs="仿宋_GB2312"/>
          <w:sz w:val="32"/>
          <w:szCs w:val="32"/>
        </w:rPr>
      </w:pPr>
      <w:r>
        <w:rPr>
          <w:rFonts w:hint="eastAsia" w:ascii="仿宋_GB2312" w:hAnsi="仿宋_GB2312" w:eastAsia="仿宋_GB2312" w:cs="仿宋_GB2312"/>
          <w:sz w:val="32"/>
          <w:szCs w:val="32"/>
        </w:rPr>
        <w:t>(二)鼓励豫剧艺术表演团体结合现有剧场、历史建筑、旅游景区、公共文化服务场所，创新演出观念，打造演艺新空间；</w:t>
      </w:r>
    </w:p>
    <w:p>
      <w:pPr>
        <w:widowControl/>
        <w:autoSpaceDE w:val="0"/>
        <w:autoSpaceDN w:val="0"/>
        <w:adjustRightInd w:val="0"/>
        <w:snapToGrid w:val="0"/>
        <w:spacing w:line="360" w:lineRule="auto"/>
        <w:ind w:firstLine="640" w:firstLineChars="200"/>
        <w:textAlignment w:val="baseline"/>
        <w:rPr>
          <w:rFonts w:ascii="仿宋_GB2312" w:hAnsi="仿宋_GB2312" w:eastAsia="仿宋_GB2312" w:cs="仿宋_GB2312"/>
          <w:sz w:val="32"/>
          <w:szCs w:val="32"/>
        </w:rPr>
      </w:pPr>
      <w:r>
        <w:rPr>
          <w:rFonts w:hint="eastAsia" w:ascii="仿宋_GB2312" w:hAnsi="仿宋_GB2312" w:eastAsia="仿宋_GB2312" w:cs="仿宋_GB2312"/>
          <w:sz w:val="32"/>
          <w:szCs w:val="32"/>
        </w:rPr>
        <w:t>(三)组织豫剧艺术表演团体结合会展、赛事、节庆、民俗等活动，展示展演豫剧；</w:t>
      </w:r>
    </w:p>
    <w:p>
      <w:pPr>
        <w:widowControl/>
        <w:autoSpaceDE w:val="0"/>
        <w:autoSpaceDN w:val="0"/>
        <w:adjustRightInd w:val="0"/>
        <w:snapToGrid w:val="0"/>
        <w:spacing w:line="360" w:lineRule="auto"/>
        <w:ind w:firstLine="640" w:firstLineChars="200"/>
        <w:textAlignment w:val="baseline"/>
        <w:rPr>
          <w:rFonts w:ascii="仿宋_GB2312" w:hAnsi="仿宋_GB2312" w:eastAsia="仿宋_GB2312" w:cs="仿宋_GB2312"/>
          <w:sz w:val="32"/>
          <w:szCs w:val="32"/>
        </w:rPr>
      </w:pPr>
      <w:r>
        <w:rPr>
          <w:rFonts w:hint="eastAsia" w:ascii="仿宋_GB2312" w:hAnsi="仿宋_GB2312" w:eastAsia="仿宋_GB2312" w:cs="仿宋_GB2312"/>
          <w:sz w:val="32"/>
          <w:szCs w:val="32"/>
        </w:rPr>
        <w:t>(四)鼓励开发具有豫剧艺术特色和市场潜力的文化创意产品与服务，支持旅游景区、旅游演艺等与豫剧深度融合，开发多类型、高品质、特色化的豫剧文创产品；</w:t>
      </w:r>
    </w:p>
    <w:p>
      <w:pPr>
        <w:widowControl/>
        <w:autoSpaceDE w:val="0"/>
        <w:autoSpaceDN w:val="0"/>
        <w:adjustRightInd w:val="0"/>
        <w:snapToGrid w:val="0"/>
        <w:spacing w:line="360" w:lineRule="auto"/>
        <w:ind w:firstLine="640" w:firstLineChars="200"/>
        <w:textAlignment w:val="baseline"/>
        <w:rPr>
          <w:rFonts w:ascii="仿宋_GB2312" w:hAnsi="仿宋_GB2312" w:eastAsia="仿宋_GB2312" w:cs="仿宋_GB2312"/>
          <w:sz w:val="32"/>
          <w:szCs w:val="32"/>
        </w:rPr>
      </w:pPr>
      <w:r>
        <w:rPr>
          <w:rFonts w:hint="eastAsia" w:ascii="仿宋_GB2312" w:hAnsi="仿宋_GB2312" w:eastAsia="仿宋_GB2312" w:cs="仿宋_GB2312"/>
          <w:sz w:val="32"/>
          <w:szCs w:val="32"/>
        </w:rPr>
        <w:t>(五)鼓励培育豫剧旅游品牌，将豫剧纳入旅游资源宣传推广，提升豫剧的知名度和美誉度；</w:t>
      </w:r>
    </w:p>
    <w:p>
      <w:pPr>
        <w:widowControl/>
        <w:autoSpaceDE w:val="0"/>
        <w:autoSpaceDN w:val="0"/>
        <w:adjustRightInd w:val="0"/>
        <w:snapToGrid w:val="0"/>
        <w:spacing w:line="360" w:lineRule="auto"/>
        <w:ind w:firstLine="640" w:firstLineChars="200"/>
        <w:textAlignment w:val="baseline"/>
        <w:rPr>
          <w:rFonts w:ascii="仿宋_GB2312" w:hAnsi="仿宋_GB2312" w:eastAsia="仿宋_GB2312" w:cs="仿宋_GB2312"/>
          <w:sz w:val="32"/>
          <w:szCs w:val="32"/>
        </w:rPr>
      </w:pPr>
      <w:r>
        <w:rPr>
          <w:rFonts w:hint="eastAsia" w:ascii="仿宋_GB2312" w:hAnsi="仿宋_GB2312" w:eastAsia="仿宋_GB2312" w:cs="仿宋_GB2312"/>
          <w:sz w:val="32"/>
          <w:szCs w:val="32"/>
        </w:rPr>
        <w:t>(六)其他推动豫剧与旅游融合的产品与服务。</w:t>
      </w:r>
    </w:p>
    <w:p>
      <w:pPr>
        <w:widowControl/>
        <w:autoSpaceDE w:val="0"/>
        <w:autoSpaceDN w:val="0"/>
        <w:adjustRightInd w:val="0"/>
        <w:snapToGrid w:val="0"/>
        <w:spacing w:line="360" w:lineRule="auto"/>
        <w:ind w:firstLine="676" w:firstLineChars="200"/>
        <w:textAlignment w:val="baseline"/>
        <w:rPr>
          <w:rFonts w:ascii="仿宋_GB2312" w:hAnsi="仿宋_GB2312" w:eastAsia="仿宋_GB2312" w:cs="仿宋_GB2312"/>
          <w:sz w:val="32"/>
          <w:szCs w:val="32"/>
        </w:rPr>
      </w:pPr>
      <w:r>
        <w:rPr>
          <w:rFonts w:hint="eastAsia" w:ascii="仿宋_GB2312" w:hAnsi="仿宋_GB2312" w:eastAsia="仿宋_GB2312" w:cs="仿宋_GB2312"/>
          <w:snapToGrid w:val="0"/>
          <w:spacing w:val="9"/>
          <w:kern w:val="0"/>
          <w:sz w:val="32"/>
          <w:szCs w:val="32"/>
        </w:rPr>
        <w:t xml:space="preserve">第二十八条  </w:t>
      </w:r>
      <w:r>
        <w:rPr>
          <w:rFonts w:hint="eastAsia" w:ascii="仿宋_GB2312" w:hAnsi="仿宋_GB2312" w:eastAsia="仿宋_GB2312" w:cs="仿宋_GB2312"/>
          <w:sz w:val="32"/>
          <w:szCs w:val="32"/>
        </w:rPr>
        <w:t>省人民政府文化和旅游主管部门应当协同相关部门加强豫剧科研工作，加大对豫剧科研项目的支持力度，支持成立豫剧发展研究新型智库，设立豫剧研究基地，创办豫剧学术期刊，出版豫剧学术科研成果，编纂豫剧志鉴，推动豫剧科研成果的转化利用。</w:t>
      </w:r>
    </w:p>
    <w:p>
      <w:pPr>
        <w:widowControl/>
        <w:autoSpaceDE w:val="0"/>
        <w:autoSpaceDN w:val="0"/>
        <w:adjustRightInd w:val="0"/>
        <w:snapToGrid w:val="0"/>
        <w:spacing w:line="360" w:lineRule="auto"/>
        <w:ind w:firstLine="640" w:firstLineChars="200"/>
        <w:textAlignment w:val="baseline"/>
        <w:rPr>
          <w:rFonts w:ascii="仿宋_GB2312" w:hAnsi="仿宋_GB2312" w:eastAsia="仿宋_GB2312" w:cs="仿宋_GB2312"/>
          <w:sz w:val="32"/>
          <w:szCs w:val="32"/>
        </w:rPr>
      </w:pPr>
      <w:r>
        <w:rPr>
          <w:rFonts w:hint="eastAsia" w:ascii="仿宋_GB2312" w:hAnsi="仿宋_GB2312" w:eastAsia="仿宋_GB2312" w:cs="仿宋_GB2312"/>
          <w:sz w:val="32"/>
          <w:szCs w:val="32"/>
        </w:rPr>
        <w:t>国有豫剧艺术表演团体、研究机构以及有条件的高等院校应当开展豫剧理论研究、剧目评论和学术交流，为豫剧的保护和发展提供理论支持。</w:t>
      </w:r>
    </w:p>
    <w:p>
      <w:pPr>
        <w:widowControl/>
        <w:autoSpaceDE w:val="0"/>
        <w:autoSpaceDN w:val="0"/>
        <w:adjustRightInd w:val="0"/>
        <w:snapToGrid w:val="0"/>
        <w:spacing w:line="360" w:lineRule="auto"/>
        <w:ind w:firstLine="640" w:firstLineChars="200"/>
        <w:textAlignment w:val="baseline"/>
        <w:rPr>
          <w:rFonts w:ascii="CESI仿宋-GB2312" w:hAnsi="CESI仿宋-GB2312" w:eastAsia="CESI仿宋-GB2312" w:cs="CESI仿宋-GB2312"/>
          <w:sz w:val="32"/>
          <w:szCs w:val="32"/>
        </w:rPr>
      </w:pPr>
      <w:r>
        <w:rPr>
          <w:rFonts w:hint="eastAsia" w:ascii="仿宋_GB2312" w:hAnsi="仿宋_GB2312" w:eastAsia="仿宋_GB2312" w:cs="仿宋_GB2312"/>
          <w:sz w:val="32"/>
          <w:szCs w:val="32"/>
        </w:rPr>
        <w:t>鼓励公民、法人和其他组织与豫剧代表性传承人、名家合作开展豫剧学术交流和理论研究。</w:t>
      </w:r>
    </w:p>
    <w:p>
      <w:pPr>
        <w:spacing w:line="560" w:lineRule="exact"/>
        <w:jc w:val="center"/>
        <w:rPr>
          <w:rFonts w:ascii="CESI黑体-GB2312" w:hAnsi="CESI黑体-GB2312" w:eastAsia="CESI黑体-GB2312" w:cs="CESI黑体-GB2312"/>
          <w:sz w:val="32"/>
          <w:szCs w:val="32"/>
        </w:rPr>
      </w:pPr>
    </w:p>
    <w:p>
      <w:pPr>
        <w:widowControl/>
        <w:numPr>
          <w:ilvl w:val="0"/>
          <w:numId w:val="1"/>
        </w:numPr>
        <w:autoSpaceDE w:val="0"/>
        <w:autoSpaceDN w:val="0"/>
        <w:adjustRightInd w:val="0"/>
        <w:snapToGrid w:val="0"/>
        <w:spacing w:after="156" w:afterLines="50" w:line="360" w:lineRule="auto"/>
        <w:ind w:right="91" w:firstLine="584"/>
        <w:jc w:val="center"/>
        <w:textAlignment w:val="baseline"/>
        <w:rPr>
          <w:rFonts w:ascii="黑体" w:hAnsi="黑体" w:eastAsia="黑体" w:cs="黑体"/>
          <w:bCs/>
          <w:sz w:val="32"/>
          <w:szCs w:val="32"/>
        </w:rPr>
      </w:pPr>
      <w:r>
        <w:rPr>
          <w:rFonts w:hint="eastAsia" w:ascii="黑体" w:hAnsi="黑体" w:eastAsia="黑体" w:cs="黑体"/>
          <w:bCs/>
          <w:sz w:val="32"/>
          <w:szCs w:val="32"/>
        </w:rPr>
        <w:t xml:space="preserve"> 保障措施</w:t>
      </w:r>
    </w:p>
    <w:p>
      <w:pPr>
        <w:widowControl/>
        <w:autoSpaceDE w:val="0"/>
        <w:autoSpaceDN w:val="0"/>
        <w:adjustRightInd w:val="0"/>
        <w:snapToGrid w:val="0"/>
        <w:spacing w:line="360" w:lineRule="auto"/>
        <w:ind w:firstLine="676" w:firstLineChars="200"/>
        <w:textAlignment w:val="baseline"/>
        <w:rPr>
          <w:rFonts w:ascii="仿宋_GB2312" w:hAnsi="仿宋_GB2312" w:eastAsia="仿宋_GB2312" w:cs="仿宋_GB2312"/>
          <w:sz w:val="32"/>
          <w:szCs w:val="32"/>
        </w:rPr>
      </w:pPr>
      <w:r>
        <w:rPr>
          <w:rFonts w:hint="eastAsia" w:ascii="仿宋_GB2312" w:hAnsi="仿宋_GB2312" w:eastAsia="仿宋_GB2312" w:cs="仿宋_GB2312"/>
          <w:snapToGrid w:val="0"/>
          <w:spacing w:val="9"/>
          <w:kern w:val="0"/>
          <w:sz w:val="32"/>
          <w:szCs w:val="32"/>
        </w:rPr>
        <w:t xml:space="preserve">第二十九条  </w:t>
      </w:r>
      <w:r>
        <w:rPr>
          <w:rFonts w:hint="eastAsia" w:ascii="仿宋_GB2312" w:hAnsi="仿宋_GB2312" w:eastAsia="仿宋_GB2312" w:cs="仿宋_GB2312"/>
          <w:sz w:val="32"/>
          <w:szCs w:val="32"/>
        </w:rPr>
        <w:t>鼓励公民、法人和其他组织通过下列方式参与豫剧保护：</w:t>
      </w:r>
    </w:p>
    <w:p>
      <w:pPr>
        <w:widowControl/>
        <w:autoSpaceDE w:val="0"/>
        <w:autoSpaceDN w:val="0"/>
        <w:adjustRightInd w:val="0"/>
        <w:snapToGrid w:val="0"/>
        <w:spacing w:line="360" w:lineRule="auto"/>
        <w:ind w:firstLine="640" w:firstLineChars="200"/>
        <w:textAlignment w:val="baseline"/>
        <w:rPr>
          <w:rFonts w:ascii="仿宋_GB2312" w:hAnsi="仿宋_GB2312" w:eastAsia="仿宋_GB2312" w:cs="仿宋_GB2312"/>
          <w:sz w:val="32"/>
          <w:szCs w:val="32"/>
        </w:rPr>
      </w:pPr>
      <w:r>
        <w:rPr>
          <w:rFonts w:hint="eastAsia" w:ascii="仿宋_GB2312" w:hAnsi="仿宋_GB2312" w:eastAsia="仿宋_GB2312" w:cs="仿宋_GB2312"/>
          <w:sz w:val="32"/>
          <w:szCs w:val="32"/>
        </w:rPr>
        <w:t>(一)举办豫剧演出、提供设施场地、赞助豫剧活动、支持豫剧传播推广等；</w:t>
      </w:r>
    </w:p>
    <w:p>
      <w:pPr>
        <w:widowControl/>
        <w:autoSpaceDE w:val="0"/>
        <w:autoSpaceDN w:val="0"/>
        <w:adjustRightInd w:val="0"/>
        <w:snapToGrid w:val="0"/>
        <w:spacing w:line="360" w:lineRule="auto"/>
        <w:ind w:firstLine="640" w:firstLineChars="200"/>
        <w:textAlignment w:val="baseline"/>
        <w:rPr>
          <w:rFonts w:ascii="仿宋_GB2312" w:hAnsi="仿宋_GB2312" w:eastAsia="仿宋_GB2312" w:cs="仿宋_GB2312"/>
          <w:sz w:val="32"/>
          <w:szCs w:val="32"/>
        </w:rPr>
      </w:pPr>
      <w:r>
        <w:rPr>
          <w:rFonts w:hint="eastAsia" w:ascii="仿宋_GB2312" w:hAnsi="仿宋_GB2312" w:eastAsia="仿宋_GB2312" w:cs="仿宋_GB2312"/>
          <w:sz w:val="32"/>
          <w:szCs w:val="32"/>
        </w:rPr>
        <w:t>(二)整理、翻译、出版豫剧文献、典籍、影（音）像等；</w:t>
      </w:r>
    </w:p>
    <w:p>
      <w:pPr>
        <w:widowControl/>
        <w:autoSpaceDE w:val="0"/>
        <w:autoSpaceDN w:val="0"/>
        <w:adjustRightInd w:val="0"/>
        <w:snapToGrid w:val="0"/>
        <w:spacing w:line="360" w:lineRule="auto"/>
        <w:ind w:firstLine="640" w:firstLineChars="200"/>
        <w:textAlignment w:val="baseline"/>
        <w:rPr>
          <w:rFonts w:ascii="仿宋_GB2312" w:hAnsi="仿宋_GB2312" w:eastAsia="仿宋_GB2312" w:cs="仿宋_GB2312"/>
          <w:sz w:val="32"/>
          <w:szCs w:val="32"/>
        </w:rPr>
      </w:pPr>
      <w:r>
        <w:rPr>
          <w:rFonts w:hint="eastAsia" w:ascii="仿宋_GB2312" w:hAnsi="仿宋_GB2312" w:eastAsia="仿宋_GB2312" w:cs="仿宋_GB2312"/>
          <w:sz w:val="32"/>
          <w:szCs w:val="32"/>
        </w:rPr>
        <w:t>(三)捐赠豫剧相关文献档案、影音资料、实物等；</w:t>
      </w:r>
    </w:p>
    <w:p>
      <w:pPr>
        <w:widowControl/>
        <w:autoSpaceDE w:val="0"/>
        <w:autoSpaceDN w:val="0"/>
        <w:adjustRightInd w:val="0"/>
        <w:snapToGrid w:val="0"/>
        <w:spacing w:line="360" w:lineRule="auto"/>
        <w:ind w:firstLine="640" w:firstLineChars="200"/>
        <w:textAlignment w:val="baseline"/>
        <w:rPr>
          <w:rFonts w:ascii="仿宋_GB2312" w:hAnsi="仿宋_GB2312" w:eastAsia="仿宋_GB2312" w:cs="仿宋_GB2312"/>
          <w:sz w:val="32"/>
          <w:szCs w:val="32"/>
        </w:rPr>
      </w:pPr>
      <w:r>
        <w:rPr>
          <w:rFonts w:hint="eastAsia" w:ascii="仿宋_GB2312" w:hAnsi="仿宋_GB2312" w:eastAsia="仿宋_GB2312" w:cs="仿宋_GB2312"/>
          <w:sz w:val="32"/>
          <w:szCs w:val="32"/>
        </w:rPr>
        <w:t>(四)资助其他豫剧保护传承发展活动。</w:t>
      </w:r>
    </w:p>
    <w:p>
      <w:pPr>
        <w:widowControl/>
        <w:autoSpaceDE w:val="0"/>
        <w:autoSpaceDN w:val="0"/>
        <w:adjustRightInd w:val="0"/>
        <w:snapToGrid w:val="0"/>
        <w:spacing w:line="360" w:lineRule="auto"/>
        <w:ind w:firstLine="676" w:firstLineChars="200"/>
        <w:textAlignment w:val="baseline"/>
        <w:rPr>
          <w:rFonts w:ascii="仿宋_GB2312" w:hAnsi="仿宋_GB2312" w:eastAsia="仿宋_GB2312" w:cs="仿宋_GB2312"/>
          <w:sz w:val="32"/>
          <w:szCs w:val="32"/>
        </w:rPr>
      </w:pPr>
      <w:r>
        <w:rPr>
          <w:rFonts w:hint="eastAsia" w:ascii="仿宋_GB2312" w:hAnsi="仿宋_GB2312" w:eastAsia="仿宋_GB2312" w:cs="仿宋_GB2312"/>
          <w:snapToGrid w:val="0"/>
          <w:spacing w:val="9"/>
          <w:kern w:val="0"/>
          <w:sz w:val="32"/>
          <w:szCs w:val="32"/>
        </w:rPr>
        <w:t xml:space="preserve">第三十条  </w:t>
      </w:r>
      <w:r>
        <w:rPr>
          <w:rFonts w:hint="eastAsia" w:ascii="仿宋_GB2312" w:hAnsi="仿宋_GB2312" w:eastAsia="仿宋_GB2312" w:cs="仿宋_GB2312"/>
          <w:sz w:val="32"/>
          <w:szCs w:val="32"/>
        </w:rPr>
        <w:t>省和相关市、县(市、区)人民政府及其有关部门应当促进豫剧知识产权运用，加强培训和分类指导，在豫剧艺术创作、艺术展演、文化创意、文物保护利用等领域引导相关单位或者个人通过申请专利、注册商标、登记著作权等方式维护自身合法权益。</w:t>
      </w:r>
    </w:p>
    <w:p>
      <w:pPr>
        <w:widowControl/>
        <w:autoSpaceDE w:val="0"/>
        <w:autoSpaceDN w:val="0"/>
        <w:adjustRightInd w:val="0"/>
        <w:snapToGrid w:val="0"/>
        <w:spacing w:line="360" w:lineRule="auto"/>
        <w:ind w:firstLine="640" w:firstLineChars="200"/>
        <w:textAlignment w:val="baseline"/>
        <w:rPr>
          <w:rFonts w:ascii="仿宋_GB2312" w:hAnsi="仿宋_GB2312" w:eastAsia="仿宋_GB2312" w:cs="仿宋_GB2312"/>
          <w:sz w:val="32"/>
          <w:szCs w:val="32"/>
        </w:rPr>
      </w:pPr>
      <w:r>
        <w:rPr>
          <w:rFonts w:hint="eastAsia" w:ascii="仿宋_GB2312" w:hAnsi="仿宋_GB2312" w:eastAsia="仿宋_GB2312" w:cs="仿宋_GB2312"/>
          <w:sz w:val="32"/>
          <w:szCs w:val="32"/>
        </w:rPr>
        <w:t>公民、法人和其他组织应当依法开展豫剧活动，不得侵犯其他权利人的知识产权。</w:t>
      </w:r>
    </w:p>
    <w:p>
      <w:pPr>
        <w:widowControl/>
        <w:autoSpaceDE w:val="0"/>
        <w:autoSpaceDN w:val="0"/>
        <w:adjustRightInd w:val="0"/>
        <w:snapToGrid w:val="0"/>
        <w:spacing w:line="360" w:lineRule="auto"/>
        <w:ind w:firstLine="676" w:firstLineChars="200"/>
        <w:textAlignment w:val="baseline"/>
        <w:rPr>
          <w:rFonts w:ascii="仿宋_GB2312" w:hAnsi="仿宋_GB2312" w:eastAsia="仿宋_GB2312" w:cs="仿宋_GB2312"/>
          <w:sz w:val="32"/>
          <w:szCs w:val="32"/>
        </w:rPr>
      </w:pPr>
      <w:r>
        <w:rPr>
          <w:rFonts w:hint="eastAsia" w:ascii="仿宋_GB2312" w:hAnsi="仿宋_GB2312" w:eastAsia="仿宋_GB2312" w:cs="仿宋_GB2312"/>
          <w:snapToGrid w:val="0"/>
          <w:spacing w:val="9"/>
          <w:kern w:val="0"/>
          <w:sz w:val="32"/>
          <w:szCs w:val="32"/>
        </w:rPr>
        <w:t xml:space="preserve">第三十一条  </w:t>
      </w:r>
      <w:r>
        <w:rPr>
          <w:rFonts w:hint="eastAsia" w:ascii="仿宋_GB2312" w:hAnsi="仿宋_GB2312" w:eastAsia="仿宋_GB2312" w:cs="仿宋_GB2312"/>
          <w:sz w:val="32"/>
          <w:szCs w:val="32"/>
        </w:rPr>
        <w:t>鼓励金融机构提供对豫剧的金融服务。</w:t>
      </w:r>
    </w:p>
    <w:p>
      <w:pPr>
        <w:widowControl/>
        <w:autoSpaceDE w:val="0"/>
        <w:autoSpaceDN w:val="0"/>
        <w:adjustRightInd w:val="0"/>
        <w:snapToGrid w:val="0"/>
        <w:spacing w:line="360" w:lineRule="auto"/>
        <w:ind w:firstLine="640" w:firstLineChars="200"/>
        <w:textAlignment w:val="baseline"/>
        <w:rPr>
          <w:rFonts w:ascii="仿宋_GB2312" w:hAnsi="仿宋_GB2312" w:eastAsia="仿宋_GB2312" w:cs="仿宋_GB2312"/>
          <w:sz w:val="32"/>
          <w:szCs w:val="32"/>
        </w:rPr>
      </w:pPr>
      <w:r>
        <w:rPr>
          <w:rFonts w:hint="eastAsia" w:ascii="仿宋_GB2312" w:hAnsi="仿宋_GB2312" w:eastAsia="仿宋_GB2312" w:cs="仿宋_GB2312"/>
          <w:sz w:val="32"/>
          <w:szCs w:val="32"/>
        </w:rPr>
        <w:t>支持和引导公民、法人和其他组织以捐赠、资助、赞助、依法设立基金会或者专项基金等形式，参与豫剧保护传承发展。符合条件的捐赠依法享受税收优惠。</w:t>
      </w:r>
    </w:p>
    <w:p>
      <w:pPr>
        <w:widowControl/>
        <w:autoSpaceDE w:val="0"/>
        <w:autoSpaceDN w:val="0"/>
        <w:adjustRightInd w:val="0"/>
        <w:snapToGrid w:val="0"/>
        <w:spacing w:after="156" w:afterLines="50" w:line="360" w:lineRule="auto"/>
        <w:ind w:right="91" w:firstLine="676" w:firstLineChars="200"/>
        <w:textAlignment w:val="baseline"/>
        <w:rPr>
          <w:rFonts w:ascii="仿宋_GB2312" w:hAnsi="仿宋_GB2312" w:eastAsia="仿宋_GB2312" w:cs="仿宋_GB2312"/>
          <w:sz w:val="32"/>
          <w:szCs w:val="32"/>
        </w:rPr>
      </w:pPr>
      <w:r>
        <w:rPr>
          <w:rFonts w:hint="eastAsia" w:ascii="仿宋_GB2312" w:hAnsi="仿宋_GB2312" w:eastAsia="仿宋_GB2312" w:cs="仿宋_GB2312"/>
          <w:snapToGrid w:val="0"/>
          <w:spacing w:val="9"/>
          <w:kern w:val="0"/>
          <w:sz w:val="32"/>
          <w:szCs w:val="32"/>
        </w:rPr>
        <w:t xml:space="preserve">第三十二条  </w:t>
      </w:r>
      <w:r>
        <w:rPr>
          <w:rFonts w:hint="eastAsia" w:ascii="仿宋_GB2312" w:hAnsi="仿宋_GB2312" w:eastAsia="仿宋_GB2312" w:cs="仿宋_GB2312"/>
          <w:sz w:val="32"/>
          <w:szCs w:val="32"/>
        </w:rPr>
        <w:t>省人民政府文化和旅游主管部门要加强豫剧演出市场监管，推动演出团体规范化管理，加大演出内容监管，推进演出市场规范化运营，营造良好演出市场环境。</w:t>
      </w:r>
    </w:p>
    <w:p>
      <w:pPr>
        <w:widowControl/>
        <w:autoSpaceDE w:val="0"/>
        <w:autoSpaceDN w:val="0"/>
        <w:adjustRightInd w:val="0"/>
        <w:snapToGrid w:val="0"/>
        <w:spacing w:after="156" w:afterLines="50" w:line="360" w:lineRule="auto"/>
        <w:ind w:right="91" w:firstLine="640" w:firstLineChars="200"/>
        <w:textAlignment w:val="baseline"/>
        <w:rPr>
          <w:rFonts w:ascii="黑体" w:hAnsi="黑体" w:eastAsia="黑体" w:cs="CESI黑体-GB2312"/>
          <w:sz w:val="32"/>
          <w:szCs w:val="32"/>
        </w:rPr>
      </w:pPr>
      <w:r>
        <w:rPr>
          <w:rFonts w:hint="eastAsia" w:ascii="仿宋_GB2312" w:hAnsi="仿宋_GB2312" w:eastAsia="仿宋_GB2312" w:cs="仿宋_GB2312"/>
          <w:sz w:val="32"/>
          <w:szCs w:val="32"/>
        </w:rPr>
        <w:t>豫剧相关行业协会应当建立健全行业规范，制定行业标准，加强行业自律，开展行业发展趋势性、前瞻性研究，维护豫剧艺术表演团体和从业人员的合法权益，发挥指导、协调、培训、服务和交流等作用，促进行业健康发展。</w:t>
      </w:r>
    </w:p>
    <w:p>
      <w:pPr>
        <w:widowControl/>
        <w:numPr>
          <w:ilvl w:val="0"/>
          <w:numId w:val="1"/>
        </w:numPr>
        <w:autoSpaceDE w:val="0"/>
        <w:autoSpaceDN w:val="0"/>
        <w:adjustRightInd w:val="0"/>
        <w:snapToGrid w:val="0"/>
        <w:spacing w:after="156" w:afterLines="50" w:line="360" w:lineRule="auto"/>
        <w:ind w:right="91" w:firstLine="584"/>
        <w:jc w:val="center"/>
        <w:textAlignment w:val="baseline"/>
        <w:rPr>
          <w:rFonts w:ascii="黑体" w:hAnsi="黑体" w:eastAsia="黑体" w:cs="黑体"/>
          <w:bCs/>
          <w:sz w:val="32"/>
          <w:szCs w:val="32"/>
        </w:rPr>
      </w:pPr>
      <w:r>
        <w:rPr>
          <w:rFonts w:hint="eastAsia" w:ascii="黑体" w:hAnsi="黑体" w:eastAsia="黑体" w:cs="黑体"/>
          <w:bCs/>
          <w:sz w:val="32"/>
          <w:szCs w:val="32"/>
        </w:rPr>
        <w:t xml:space="preserve"> 附  则</w:t>
      </w:r>
    </w:p>
    <w:p>
      <w:pPr>
        <w:widowControl/>
        <w:autoSpaceDE w:val="0"/>
        <w:autoSpaceDN w:val="0"/>
        <w:adjustRightInd w:val="0"/>
        <w:snapToGrid w:val="0"/>
        <w:spacing w:line="360" w:lineRule="auto"/>
        <w:ind w:firstLine="676" w:firstLineChars="200"/>
        <w:textAlignment w:val="baseline"/>
        <w:rPr>
          <w:rFonts w:ascii="仿宋_GB2312" w:hAnsi="仿宋_GB2312" w:eastAsia="仿宋_GB2312" w:cs="仿宋_GB2312"/>
          <w:snapToGrid w:val="0"/>
          <w:spacing w:val="9"/>
          <w:kern w:val="0"/>
          <w:sz w:val="30"/>
          <w:szCs w:val="30"/>
        </w:rPr>
      </w:pPr>
      <w:r>
        <w:rPr>
          <w:rFonts w:hint="eastAsia" w:ascii="仿宋_GB2312" w:hAnsi="仿宋_GB2312" w:eastAsia="仿宋_GB2312" w:cs="仿宋_GB2312"/>
          <w:snapToGrid w:val="0"/>
          <w:spacing w:val="9"/>
          <w:kern w:val="0"/>
          <w:sz w:val="32"/>
          <w:szCs w:val="32"/>
        </w:rPr>
        <w:t xml:space="preserve">第三十三条  </w:t>
      </w:r>
      <w:r>
        <w:rPr>
          <w:rFonts w:hint="eastAsia" w:ascii="仿宋_GB2312" w:hAnsi="仿宋_GB2312" w:eastAsia="仿宋_GB2312" w:cs="仿宋_GB2312"/>
          <w:sz w:val="32"/>
          <w:szCs w:val="32"/>
        </w:rPr>
        <w:t>本条例自某年某月某日起施行。</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Cambria">
    <w:altName w:val="FreeSerif"/>
    <w:panose1 w:val="02040503050406030204"/>
    <w:charset w:val="00"/>
    <w:family w:val="roman"/>
    <w:pitch w:val="default"/>
    <w:sig w:usb0="00000000" w:usb1="00000000" w:usb2="02000000" w:usb3="00000000" w:csb0="0000019F" w:csb1="00000000"/>
  </w:font>
  <w:font w:name="方正小标宋简体">
    <w:panose1 w:val="02000000000000000000"/>
    <w:charset w:val="86"/>
    <w:family w:val="script"/>
    <w:pitch w:val="default"/>
    <w:sig w:usb0="A00002BF" w:usb1="184F6CFA" w:usb2="00000012" w:usb3="00000000" w:csb0="00040001" w:csb1="00000000"/>
  </w:font>
  <w:font w:name="CESI楷体-GB2312">
    <w:panose1 w:val="02000500000000000000"/>
    <w:charset w:val="86"/>
    <w:family w:val="auto"/>
    <w:pitch w:val="default"/>
    <w:sig w:usb0="800002BF" w:usb1="184F6CF8" w:usb2="00000012" w:usb3="00000000" w:csb0="0004000F" w:csb1="00000000"/>
  </w:font>
  <w:font w:name="仿宋_GB2312">
    <w:altName w:val="方正仿宋_GBK"/>
    <w:panose1 w:val="02010609030101010101"/>
    <w:charset w:val="86"/>
    <w:family w:val="modern"/>
    <w:pitch w:val="default"/>
    <w:sig w:usb0="00000000" w:usb1="00000000" w:usb2="00000010" w:usb3="00000000" w:csb0="00040000" w:csb1="00000000"/>
  </w:font>
  <w:font w:name="CESI仿宋-GB2312">
    <w:panose1 w:val="02000500000000000000"/>
    <w:charset w:val="86"/>
    <w:family w:val="auto"/>
    <w:pitch w:val="default"/>
    <w:sig w:usb0="800002AF" w:usb1="084F6CF8" w:usb2="00000010" w:usb3="00000000" w:csb0="0004000F" w:csb1="00000000"/>
  </w:font>
  <w:font w:name="仿宋">
    <w:altName w:val="方正仿宋_GBK"/>
    <w:panose1 w:val="02010609060101010101"/>
    <w:charset w:val="86"/>
    <w:family w:val="modern"/>
    <w:pitch w:val="default"/>
    <w:sig w:usb0="00000000" w:usb1="00000000" w:usb2="00000016" w:usb3="00000000" w:csb0="00040001" w:csb1="00000000"/>
  </w:font>
  <w:font w:name="CESI黑体-GB2312">
    <w:panose1 w:val="02000500000000000000"/>
    <w:charset w:val="86"/>
    <w:family w:val="auto"/>
    <w:pitch w:val="default"/>
    <w:sig w:usb0="800002BF" w:usb1="184F6CF8" w:usb2="00000012" w:usb3="00000000" w:csb0="0004000F"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FreeSerif">
    <w:panose1 w:val="02020603050405020304"/>
    <w:charset w:val="00"/>
    <w:family w:val="auto"/>
    <w:pitch w:val="default"/>
    <w:sig w:usb0="E59FAFFF" w:usb1="C200FDFF" w:usb2="43501B29" w:usb3="04000043" w:csb0="600101FF" w:csb1="FFFF0000"/>
  </w:font>
  <w:font w:name="Standard Symbols PS">
    <w:panose1 w:val="05050102010706020507"/>
    <w:charset w:val="00"/>
    <w:family w:val="auto"/>
    <w:pitch w:val="default"/>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6298391"/>
    <w:multiLevelType w:val="singleLevel"/>
    <w:tmpl w:val="76298391"/>
    <w:lvl w:ilvl="0" w:tentative="0">
      <w:start w:val="1"/>
      <w:numFmt w:val="chineseCounting"/>
      <w:suff w:val="space"/>
      <w:lvlText w:val="第%1章"/>
      <w:lvlJc w:val="left"/>
      <w:rPr>
        <w:rFonts w:hint="eastAsia"/>
        <w:sz w:val="32"/>
        <w:szCs w:val="32"/>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1"/>
  <w:bordersDoNotSurroundHeader w:val="true"/>
  <w:bordersDoNotSurroundFooter w:val="true"/>
  <w:documentProtection w:enforcement="0"/>
  <w:defaultTabStop w:val="420"/>
  <w:drawingGridVerticalSpacing w:val="156"/>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658C3"/>
    <w:rsid w:val="00003B44"/>
    <w:rsid w:val="0004391F"/>
    <w:rsid w:val="00070C54"/>
    <w:rsid w:val="000731FF"/>
    <w:rsid w:val="000A7695"/>
    <w:rsid w:val="000F0DF7"/>
    <w:rsid w:val="00144A4F"/>
    <w:rsid w:val="00192BF2"/>
    <w:rsid w:val="001B2944"/>
    <w:rsid w:val="001B7E89"/>
    <w:rsid w:val="001C0605"/>
    <w:rsid w:val="001C4107"/>
    <w:rsid w:val="0020054C"/>
    <w:rsid w:val="002957A4"/>
    <w:rsid w:val="002B373C"/>
    <w:rsid w:val="002B7D92"/>
    <w:rsid w:val="002D6D1D"/>
    <w:rsid w:val="003233D9"/>
    <w:rsid w:val="00334692"/>
    <w:rsid w:val="00372D56"/>
    <w:rsid w:val="00375415"/>
    <w:rsid w:val="003801A1"/>
    <w:rsid w:val="003A1C18"/>
    <w:rsid w:val="003A4385"/>
    <w:rsid w:val="003B3C7F"/>
    <w:rsid w:val="003C4D4C"/>
    <w:rsid w:val="003F4E9B"/>
    <w:rsid w:val="00410CC2"/>
    <w:rsid w:val="00471A60"/>
    <w:rsid w:val="004A6FC5"/>
    <w:rsid w:val="004D61E6"/>
    <w:rsid w:val="004D7321"/>
    <w:rsid w:val="004E462D"/>
    <w:rsid w:val="004E7D9E"/>
    <w:rsid w:val="004F78DA"/>
    <w:rsid w:val="00510D47"/>
    <w:rsid w:val="0053597B"/>
    <w:rsid w:val="00580662"/>
    <w:rsid w:val="005D1220"/>
    <w:rsid w:val="0060042A"/>
    <w:rsid w:val="00630625"/>
    <w:rsid w:val="00663B7F"/>
    <w:rsid w:val="00680F97"/>
    <w:rsid w:val="006F499D"/>
    <w:rsid w:val="006F7BFF"/>
    <w:rsid w:val="0071121F"/>
    <w:rsid w:val="00737482"/>
    <w:rsid w:val="007658C3"/>
    <w:rsid w:val="007A0F38"/>
    <w:rsid w:val="007D79F0"/>
    <w:rsid w:val="007E7D2E"/>
    <w:rsid w:val="007F7E71"/>
    <w:rsid w:val="0081738F"/>
    <w:rsid w:val="008256DA"/>
    <w:rsid w:val="00837450"/>
    <w:rsid w:val="0085206E"/>
    <w:rsid w:val="00880938"/>
    <w:rsid w:val="00883557"/>
    <w:rsid w:val="0089163B"/>
    <w:rsid w:val="008C3EC0"/>
    <w:rsid w:val="008F5A4B"/>
    <w:rsid w:val="008F7410"/>
    <w:rsid w:val="00902724"/>
    <w:rsid w:val="00913F62"/>
    <w:rsid w:val="00925313"/>
    <w:rsid w:val="00947B5D"/>
    <w:rsid w:val="00950FD4"/>
    <w:rsid w:val="009A0D6F"/>
    <w:rsid w:val="009A2F44"/>
    <w:rsid w:val="009B6A09"/>
    <w:rsid w:val="009C0886"/>
    <w:rsid w:val="00A05E3C"/>
    <w:rsid w:val="00A1737A"/>
    <w:rsid w:val="00A445B8"/>
    <w:rsid w:val="00AF2E0A"/>
    <w:rsid w:val="00AF7CC8"/>
    <w:rsid w:val="00B05A21"/>
    <w:rsid w:val="00B80F30"/>
    <w:rsid w:val="00B820B8"/>
    <w:rsid w:val="00B83EBE"/>
    <w:rsid w:val="00BB1C2C"/>
    <w:rsid w:val="00C25C2F"/>
    <w:rsid w:val="00C459F2"/>
    <w:rsid w:val="00C86B9D"/>
    <w:rsid w:val="00CB1B30"/>
    <w:rsid w:val="00D245C7"/>
    <w:rsid w:val="00D41673"/>
    <w:rsid w:val="00D54BB9"/>
    <w:rsid w:val="00D922D4"/>
    <w:rsid w:val="00D93696"/>
    <w:rsid w:val="00DB2E57"/>
    <w:rsid w:val="00DD2FCE"/>
    <w:rsid w:val="00DF1F2F"/>
    <w:rsid w:val="00E07798"/>
    <w:rsid w:val="00E80341"/>
    <w:rsid w:val="00E93113"/>
    <w:rsid w:val="00EA7BCB"/>
    <w:rsid w:val="00EB275A"/>
    <w:rsid w:val="00EB6E47"/>
    <w:rsid w:val="00F229F8"/>
    <w:rsid w:val="00F24412"/>
    <w:rsid w:val="00F32303"/>
    <w:rsid w:val="00FA3EBE"/>
    <w:rsid w:val="00FB1A32"/>
    <w:rsid w:val="00FB3904"/>
    <w:rsid w:val="00FE0406"/>
    <w:rsid w:val="00FE53DC"/>
    <w:rsid w:val="00FF68C6"/>
    <w:rsid w:val="0E5E7EC3"/>
    <w:rsid w:val="45014A76"/>
    <w:rsid w:val="4D783FC7"/>
    <w:rsid w:val="5A1B001B"/>
    <w:rsid w:val="5FF3ED22"/>
    <w:rsid w:val="63673431"/>
    <w:rsid w:val="638951B5"/>
    <w:rsid w:val="6928618E"/>
    <w:rsid w:val="6ECE168B"/>
    <w:rsid w:val="6FBCC0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8"/>
    <w:qFormat/>
    <w:uiPriority w:val="9"/>
    <w:pPr>
      <w:keepNext/>
      <w:keepLines/>
      <w:spacing w:before="480" w:after="80"/>
      <w:outlineLvl w:val="0"/>
    </w:pPr>
    <w:rPr>
      <w:rFonts w:asciiTheme="majorHAnsi" w:hAnsiTheme="majorHAnsi" w:eastAsiaTheme="majorEastAsia" w:cstheme="majorBidi"/>
      <w:color w:val="376092" w:themeColor="accent1" w:themeShade="BF"/>
      <w:sz w:val="48"/>
      <w:szCs w:val="48"/>
    </w:rPr>
  </w:style>
  <w:style w:type="paragraph" w:styleId="3">
    <w:name w:val="heading 2"/>
    <w:basedOn w:val="1"/>
    <w:next w:val="1"/>
    <w:link w:val="19"/>
    <w:semiHidden/>
    <w:unhideWhenUsed/>
    <w:qFormat/>
    <w:uiPriority w:val="9"/>
    <w:pPr>
      <w:keepNext/>
      <w:keepLines/>
      <w:spacing w:before="160" w:after="80"/>
      <w:outlineLvl w:val="1"/>
    </w:pPr>
    <w:rPr>
      <w:rFonts w:asciiTheme="majorHAnsi" w:hAnsiTheme="majorHAnsi" w:eastAsiaTheme="majorEastAsia" w:cstheme="majorBidi"/>
      <w:color w:val="376092" w:themeColor="accent1" w:themeShade="BF"/>
      <w:sz w:val="40"/>
      <w:szCs w:val="40"/>
    </w:rPr>
  </w:style>
  <w:style w:type="paragraph" w:styleId="4">
    <w:name w:val="heading 3"/>
    <w:basedOn w:val="1"/>
    <w:next w:val="1"/>
    <w:link w:val="20"/>
    <w:semiHidden/>
    <w:unhideWhenUsed/>
    <w:qFormat/>
    <w:uiPriority w:val="9"/>
    <w:pPr>
      <w:keepNext/>
      <w:keepLines/>
      <w:spacing w:before="160" w:after="80"/>
      <w:outlineLvl w:val="2"/>
    </w:pPr>
    <w:rPr>
      <w:rFonts w:asciiTheme="majorHAnsi" w:hAnsiTheme="majorHAnsi" w:eastAsiaTheme="majorEastAsia" w:cstheme="majorBidi"/>
      <w:color w:val="376092" w:themeColor="accent1" w:themeShade="BF"/>
      <w:sz w:val="32"/>
      <w:szCs w:val="32"/>
    </w:rPr>
  </w:style>
  <w:style w:type="paragraph" w:styleId="5">
    <w:name w:val="heading 4"/>
    <w:basedOn w:val="1"/>
    <w:next w:val="1"/>
    <w:link w:val="21"/>
    <w:semiHidden/>
    <w:unhideWhenUsed/>
    <w:qFormat/>
    <w:uiPriority w:val="9"/>
    <w:pPr>
      <w:keepNext/>
      <w:keepLines/>
      <w:spacing w:before="80" w:after="40"/>
      <w:outlineLvl w:val="3"/>
    </w:pPr>
    <w:rPr>
      <w:rFonts w:cstheme="majorBidi"/>
      <w:color w:val="376092" w:themeColor="accent1" w:themeShade="BF"/>
      <w:sz w:val="28"/>
      <w:szCs w:val="28"/>
    </w:rPr>
  </w:style>
  <w:style w:type="paragraph" w:styleId="6">
    <w:name w:val="heading 5"/>
    <w:basedOn w:val="1"/>
    <w:next w:val="1"/>
    <w:link w:val="22"/>
    <w:semiHidden/>
    <w:unhideWhenUsed/>
    <w:qFormat/>
    <w:uiPriority w:val="9"/>
    <w:pPr>
      <w:keepNext/>
      <w:keepLines/>
      <w:spacing w:before="80" w:after="40"/>
      <w:outlineLvl w:val="4"/>
    </w:pPr>
    <w:rPr>
      <w:rFonts w:cstheme="majorBidi"/>
      <w:color w:val="376092" w:themeColor="accent1" w:themeShade="BF"/>
      <w:sz w:val="24"/>
      <w:szCs w:val="24"/>
    </w:rPr>
  </w:style>
  <w:style w:type="paragraph" w:styleId="7">
    <w:name w:val="heading 6"/>
    <w:basedOn w:val="1"/>
    <w:next w:val="1"/>
    <w:link w:val="23"/>
    <w:semiHidden/>
    <w:unhideWhenUsed/>
    <w:qFormat/>
    <w:uiPriority w:val="9"/>
    <w:pPr>
      <w:keepNext/>
      <w:keepLines/>
      <w:spacing w:before="40"/>
      <w:outlineLvl w:val="5"/>
    </w:pPr>
    <w:rPr>
      <w:rFonts w:cstheme="majorBidi"/>
      <w:b/>
      <w:bCs/>
      <w:color w:val="376092" w:themeColor="accent1" w:themeShade="BF"/>
    </w:rPr>
  </w:style>
  <w:style w:type="paragraph" w:styleId="8">
    <w:name w:val="heading 7"/>
    <w:basedOn w:val="1"/>
    <w:next w:val="1"/>
    <w:link w:val="24"/>
    <w:semiHidden/>
    <w:unhideWhenUsed/>
    <w:qFormat/>
    <w:uiPriority w:val="9"/>
    <w:pPr>
      <w:keepNext/>
      <w:keepLines/>
      <w:spacing w:before="40"/>
      <w:outlineLvl w:val="6"/>
    </w:pPr>
    <w:rPr>
      <w:rFonts w:cstheme="majorBidi"/>
      <w:b/>
      <w:bCs/>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25"/>
    <w:semiHidden/>
    <w:unhideWhenUsed/>
    <w:qFormat/>
    <w:uiPriority w:val="9"/>
    <w:pPr>
      <w:keepNext/>
      <w:keepLines/>
      <w:outlineLvl w:val="7"/>
    </w:pPr>
    <w:rPr>
      <w:rFonts w:cstheme="majorBidi"/>
      <w:color w:val="595959" w:themeColor="text1" w:themeTint="A6"/>
      <w14:textFill>
        <w14:solidFill>
          <w14:schemeClr w14:val="tx1">
            <w14:lumMod w14:val="65000"/>
            <w14:lumOff w14:val="35000"/>
          </w14:schemeClr>
        </w14:solidFill>
      </w14:textFill>
    </w:rPr>
  </w:style>
  <w:style w:type="paragraph" w:styleId="10">
    <w:name w:val="heading 9"/>
    <w:basedOn w:val="1"/>
    <w:next w:val="1"/>
    <w:link w:val="26"/>
    <w:semiHidden/>
    <w:unhideWhenUsed/>
    <w:qFormat/>
    <w:uiPriority w:val="9"/>
    <w:pPr>
      <w:keepNext/>
      <w:keepLines/>
      <w:outlineLvl w:val="8"/>
    </w:pPr>
    <w:rPr>
      <w:rFonts w:eastAsiaTheme="majorEastAsia" w:cstheme="majorBidi"/>
      <w:color w:val="595959" w:themeColor="text1" w:themeTint="A6"/>
      <w14:textFill>
        <w14:solidFill>
          <w14:schemeClr w14:val="tx1">
            <w14:lumMod w14:val="65000"/>
            <w14:lumOff w14:val="35000"/>
          </w14:schemeClr>
        </w14:solidFill>
      </w14:textFill>
    </w:rPr>
  </w:style>
  <w:style w:type="character" w:default="1" w:styleId="17">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11">
    <w:name w:val="Date"/>
    <w:basedOn w:val="1"/>
    <w:next w:val="1"/>
    <w:link w:val="36"/>
    <w:semiHidden/>
    <w:unhideWhenUsed/>
    <w:qFormat/>
    <w:uiPriority w:val="99"/>
    <w:pPr>
      <w:ind w:left="100" w:leftChars="2500"/>
    </w:pPr>
  </w:style>
  <w:style w:type="paragraph" w:styleId="12">
    <w:name w:val="footer"/>
    <w:basedOn w:val="1"/>
    <w:link w:val="38"/>
    <w:unhideWhenUsed/>
    <w:qFormat/>
    <w:uiPriority w:val="99"/>
    <w:pPr>
      <w:tabs>
        <w:tab w:val="center" w:pos="4153"/>
        <w:tab w:val="right" w:pos="8306"/>
      </w:tabs>
      <w:snapToGrid w:val="0"/>
      <w:jc w:val="left"/>
    </w:pPr>
    <w:rPr>
      <w:sz w:val="18"/>
      <w:szCs w:val="18"/>
    </w:rPr>
  </w:style>
  <w:style w:type="paragraph" w:styleId="13">
    <w:name w:val="header"/>
    <w:basedOn w:val="1"/>
    <w:link w:val="37"/>
    <w:unhideWhenUsed/>
    <w:qFormat/>
    <w:uiPriority w:val="99"/>
    <w:pPr>
      <w:tabs>
        <w:tab w:val="center" w:pos="4153"/>
        <w:tab w:val="right" w:pos="8306"/>
      </w:tabs>
      <w:snapToGrid w:val="0"/>
      <w:jc w:val="center"/>
    </w:pPr>
    <w:rPr>
      <w:sz w:val="18"/>
      <w:szCs w:val="18"/>
    </w:rPr>
  </w:style>
  <w:style w:type="paragraph" w:styleId="14">
    <w:name w:val="Subtitle"/>
    <w:basedOn w:val="1"/>
    <w:next w:val="1"/>
    <w:link w:val="28"/>
    <w:qFormat/>
    <w:uiPriority w:val="11"/>
    <w:pPr>
      <w:spacing w:after="160"/>
      <w:jc w:val="center"/>
    </w:pPr>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5">
    <w:name w:val="Title"/>
    <w:basedOn w:val="1"/>
    <w:next w:val="1"/>
    <w:link w:val="27"/>
    <w:qFormat/>
    <w:uiPriority w:val="10"/>
    <w:pPr>
      <w:spacing w:after="80"/>
      <w:contextualSpacing/>
      <w:jc w:val="center"/>
    </w:pPr>
    <w:rPr>
      <w:rFonts w:asciiTheme="majorHAnsi" w:hAnsiTheme="majorHAnsi" w:eastAsiaTheme="majorEastAsia" w:cstheme="majorBidi"/>
      <w:spacing w:val="-10"/>
      <w:kern w:val="28"/>
      <w:sz w:val="56"/>
      <w:szCs w:val="56"/>
    </w:rPr>
  </w:style>
  <w:style w:type="character" w:customStyle="1" w:styleId="18">
    <w:name w:val="标题 1 Char"/>
    <w:basedOn w:val="17"/>
    <w:link w:val="2"/>
    <w:qFormat/>
    <w:uiPriority w:val="9"/>
    <w:rPr>
      <w:rFonts w:asciiTheme="majorHAnsi" w:hAnsiTheme="majorHAnsi" w:eastAsiaTheme="majorEastAsia" w:cstheme="majorBidi"/>
      <w:color w:val="376092" w:themeColor="accent1" w:themeShade="BF"/>
      <w:sz w:val="48"/>
      <w:szCs w:val="48"/>
    </w:rPr>
  </w:style>
  <w:style w:type="character" w:customStyle="1" w:styleId="19">
    <w:name w:val="标题 2 Char"/>
    <w:basedOn w:val="17"/>
    <w:link w:val="3"/>
    <w:semiHidden/>
    <w:qFormat/>
    <w:uiPriority w:val="9"/>
    <w:rPr>
      <w:rFonts w:asciiTheme="majorHAnsi" w:hAnsiTheme="majorHAnsi" w:eastAsiaTheme="majorEastAsia" w:cstheme="majorBidi"/>
      <w:color w:val="376092" w:themeColor="accent1" w:themeShade="BF"/>
      <w:sz w:val="40"/>
      <w:szCs w:val="40"/>
    </w:rPr>
  </w:style>
  <w:style w:type="character" w:customStyle="1" w:styleId="20">
    <w:name w:val="标题 3 Char"/>
    <w:basedOn w:val="17"/>
    <w:link w:val="4"/>
    <w:semiHidden/>
    <w:qFormat/>
    <w:uiPriority w:val="9"/>
    <w:rPr>
      <w:rFonts w:asciiTheme="majorHAnsi" w:hAnsiTheme="majorHAnsi" w:eastAsiaTheme="majorEastAsia" w:cstheme="majorBidi"/>
      <w:color w:val="376092" w:themeColor="accent1" w:themeShade="BF"/>
      <w:sz w:val="32"/>
      <w:szCs w:val="32"/>
    </w:rPr>
  </w:style>
  <w:style w:type="character" w:customStyle="1" w:styleId="21">
    <w:name w:val="标题 4 Char"/>
    <w:basedOn w:val="17"/>
    <w:link w:val="5"/>
    <w:semiHidden/>
    <w:qFormat/>
    <w:uiPriority w:val="9"/>
    <w:rPr>
      <w:rFonts w:cstheme="majorBidi"/>
      <w:color w:val="376092" w:themeColor="accent1" w:themeShade="BF"/>
      <w:sz w:val="28"/>
      <w:szCs w:val="28"/>
    </w:rPr>
  </w:style>
  <w:style w:type="character" w:customStyle="1" w:styleId="22">
    <w:name w:val="标题 5 Char"/>
    <w:basedOn w:val="17"/>
    <w:link w:val="6"/>
    <w:semiHidden/>
    <w:qFormat/>
    <w:uiPriority w:val="9"/>
    <w:rPr>
      <w:rFonts w:cstheme="majorBidi"/>
      <w:color w:val="376092" w:themeColor="accent1" w:themeShade="BF"/>
      <w:sz w:val="24"/>
      <w:szCs w:val="24"/>
    </w:rPr>
  </w:style>
  <w:style w:type="character" w:customStyle="1" w:styleId="23">
    <w:name w:val="标题 6 Char"/>
    <w:basedOn w:val="17"/>
    <w:link w:val="7"/>
    <w:semiHidden/>
    <w:qFormat/>
    <w:uiPriority w:val="9"/>
    <w:rPr>
      <w:rFonts w:cstheme="majorBidi"/>
      <w:b/>
      <w:bCs/>
      <w:color w:val="376092" w:themeColor="accent1" w:themeShade="BF"/>
    </w:rPr>
  </w:style>
  <w:style w:type="character" w:customStyle="1" w:styleId="24">
    <w:name w:val="标题 7 Char"/>
    <w:basedOn w:val="17"/>
    <w:link w:val="8"/>
    <w:semiHidden/>
    <w:qFormat/>
    <w:uiPriority w:val="9"/>
    <w:rPr>
      <w:rFonts w:cstheme="majorBidi"/>
      <w:b/>
      <w:bCs/>
      <w:color w:val="595959" w:themeColor="text1" w:themeTint="A6"/>
      <w14:textFill>
        <w14:solidFill>
          <w14:schemeClr w14:val="tx1">
            <w14:lumMod w14:val="65000"/>
            <w14:lumOff w14:val="35000"/>
          </w14:schemeClr>
        </w14:solidFill>
      </w14:textFill>
    </w:rPr>
  </w:style>
  <w:style w:type="character" w:customStyle="1" w:styleId="25">
    <w:name w:val="标题 8 Char"/>
    <w:basedOn w:val="17"/>
    <w:link w:val="9"/>
    <w:semiHidden/>
    <w:qFormat/>
    <w:uiPriority w:val="9"/>
    <w:rPr>
      <w:rFonts w:cstheme="majorBidi"/>
      <w:color w:val="595959" w:themeColor="text1" w:themeTint="A6"/>
      <w14:textFill>
        <w14:solidFill>
          <w14:schemeClr w14:val="tx1">
            <w14:lumMod w14:val="65000"/>
            <w14:lumOff w14:val="35000"/>
          </w14:schemeClr>
        </w14:solidFill>
      </w14:textFill>
    </w:rPr>
  </w:style>
  <w:style w:type="character" w:customStyle="1" w:styleId="26">
    <w:name w:val="标题 9 Char"/>
    <w:basedOn w:val="17"/>
    <w:link w:val="10"/>
    <w:semiHidden/>
    <w:qFormat/>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27">
    <w:name w:val="标题 Char"/>
    <w:basedOn w:val="17"/>
    <w:link w:val="15"/>
    <w:qFormat/>
    <w:uiPriority w:val="10"/>
    <w:rPr>
      <w:rFonts w:asciiTheme="majorHAnsi" w:hAnsiTheme="majorHAnsi" w:eastAsiaTheme="majorEastAsia" w:cstheme="majorBidi"/>
      <w:spacing w:val="-10"/>
      <w:kern w:val="28"/>
      <w:sz w:val="56"/>
      <w:szCs w:val="56"/>
    </w:rPr>
  </w:style>
  <w:style w:type="character" w:customStyle="1" w:styleId="28">
    <w:name w:val="副标题 Char"/>
    <w:basedOn w:val="17"/>
    <w:link w:val="14"/>
    <w:qFormat/>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29">
    <w:name w:val="Quote"/>
    <w:basedOn w:val="1"/>
    <w:next w:val="1"/>
    <w:link w:val="30"/>
    <w:qFormat/>
    <w:uiPriority w:val="29"/>
    <w:pPr>
      <w:spacing w:before="160" w:after="160"/>
      <w:jc w:val="center"/>
    </w:pPr>
    <w:rPr>
      <w:i/>
      <w:iCs/>
      <w:color w:val="404040" w:themeColor="text1" w:themeTint="BF"/>
      <w14:textFill>
        <w14:solidFill>
          <w14:schemeClr w14:val="tx1">
            <w14:lumMod w14:val="75000"/>
            <w14:lumOff w14:val="25000"/>
          </w14:schemeClr>
        </w14:solidFill>
      </w14:textFill>
    </w:rPr>
  </w:style>
  <w:style w:type="character" w:customStyle="1" w:styleId="30">
    <w:name w:val="引用 Char"/>
    <w:basedOn w:val="17"/>
    <w:link w:val="29"/>
    <w:qFormat/>
    <w:uiPriority w:val="29"/>
    <w:rPr>
      <w:i/>
      <w:iCs/>
      <w:color w:val="404040" w:themeColor="text1" w:themeTint="BF"/>
      <w14:textFill>
        <w14:solidFill>
          <w14:schemeClr w14:val="tx1">
            <w14:lumMod w14:val="75000"/>
            <w14:lumOff w14:val="25000"/>
          </w14:schemeClr>
        </w14:solidFill>
      </w14:textFill>
    </w:rPr>
  </w:style>
  <w:style w:type="paragraph" w:styleId="31">
    <w:name w:val="List Paragraph"/>
    <w:basedOn w:val="1"/>
    <w:qFormat/>
    <w:uiPriority w:val="34"/>
    <w:pPr>
      <w:ind w:left="720"/>
      <w:contextualSpacing/>
    </w:pPr>
  </w:style>
  <w:style w:type="character" w:customStyle="1" w:styleId="32">
    <w:name w:val="明显强调1"/>
    <w:basedOn w:val="17"/>
    <w:qFormat/>
    <w:uiPriority w:val="21"/>
    <w:rPr>
      <w:i/>
      <w:iCs/>
      <w:color w:val="376092" w:themeColor="accent1" w:themeShade="BF"/>
    </w:rPr>
  </w:style>
  <w:style w:type="paragraph" w:styleId="33">
    <w:name w:val="Intense Quote"/>
    <w:basedOn w:val="1"/>
    <w:next w:val="1"/>
    <w:link w:val="34"/>
    <w:qFormat/>
    <w:uiPriority w:val="30"/>
    <w:pPr>
      <w:pBdr>
        <w:top w:val="single" w:color="366091" w:themeColor="accent1" w:themeShade="BF" w:sz="4" w:space="10"/>
        <w:bottom w:val="single" w:color="366091" w:themeColor="accent1" w:themeShade="BF" w:sz="4" w:space="10"/>
      </w:pBdr>
      <w:spacing w:before="360" w:after="360"/>
      <w:ind w:left="864" w:right="864"/>
      <w:jc w:val="center"/>
    </w:pPr>
    <w:rPr>
      <w:i/>
      <w:iCs/>
      <w:color w:val="376092" w:themeColor="accent1" w:themeShade="BF"/>
    </w:rPr>
  </w:style>
  <w:style w:type="character" w:customStyle="1" w:styleId="34">
    <w:name w:val="明显引用 Char"/>
    <w:basedOn w:val="17"/>
    <w:link w:val="33"/>
    <w:qFormat/>
    <w:uiPriority w:val="30"/>
    <w:rPr>
      <w:i/>
      <w:iCs/>
      <w:color w:val="376092" w:themeColor="accent1" w:themeShade="BF"/>
    </w:rPr>
  </w:style>
  <w:style w:type="character" w:customStyle="1" w:styleId="35">
    <w:name w:val="明显参考1"/>
    <w:basedOn w:val="17"/>
    <w:qFormat/>
    <w:uiPriority w:val="32"/>
    <w:rPr>
      <w:b/>
      <w:bCs/>
      <w:smallCaps/>
      <w:color w:val="376092" w:themeColor="accent1" w:themeShade="BF"/>
      <w:spacing w:val="5"/>
    </w:rPr>
  </w:style>
  <w:style w:type="character" w:customStyle="1" w:styleId="36">
    <w:name w:val="日期 Char"/>
    <w:basedOn w:val="17"/>
    <w:link w:val="11"/>
    <w:semiHidden/>
    <w:qFormat/>
    <w:uiPriority w:val="99"/>
  </w:style>
  <w:style w:type="character" w:customStyle="1" w:styleId="37">
    <w:name w:val="页眉 Char"/>
    <w:basedOn w:val="17"/>
    <w:link w:val="13"/>
    <w:qFormat/>
    <w:uiPriority w:val="99"/>
    <w:rPr>
      <w:sz w:val="18"/>
      <w:szCs w:val="18"/>
    </w:rPr>
  </w:style>
  <w:style w:type="character" w:customStyle="1" w:styleId="38">
    <w:name w:val="页脚 Char"/>
    <w:basedOn w:val="17"/>
    <w:link w:val="12"/>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14</Pages>
  <Words>903</Words>
  <Characters>5148</Characters>
  <Lines>42</Lines>
  <Paragraphs>12</Paragraphs>
  <TotalTime>0</TotalTime>
  <ScaleCrop>false</ScaleCrop>
  <LinksUpToDate>false</LinksUpToDate>
  <CharactersWithSpaces>6039</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2025-09-04T22:33:00Z</dcterms:created>
  <dc:creator>383672568@qq.com</dc:creator>
  <cp:lastModifiedBy>杨天舵</cp:lastModifiedBy>
  <cp:lastPrinted>2025-09-16T23:10:00Z</cp:lastPrinted>
  <dcterms:modified xsi:type="dcterms:W3CDTF">2025-10-18T17:16:25Z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y fmtid="{D5CDD505-2E9C-101B-9397-08002B2CF9AE}" pid="3" name="KSOTemplateDocerSaveRecord">
    <vt:lpwstr>eyJoZGlkIjoiMWYzNzE5ODVjMjRhOWIwY2NlMGVlYWQ1OTZmZDk0OWYiLCJ1c2VySWQiOiI2MjAxNDYxODcifQ==</vt:lpwstr>
  </property>
  <property fmtid="{D5CDD505-2E9C-101B-9397-08002B2CF9AE}" pid="4" name="ICV">
    <vt:lpwstr>543E8F853D5A4E82BC246557D99EC0DA_13</vt:lpwstr>
  </property>
</Properties>
</file>