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DD8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i w:val="0"/>
          <w:caps w:val="0"/>
          <w:color w:val="auto"/>
          <w:spacing w:val="0"/>
          <w:sz w:val="32"/>
          <w:szCs w:val="32"/>
          <w:shd w:val="clear" w:color="auto" w:fill="FFFFFF"/>
          <w:lang w:val="en-US" w:eastAsia="zh-CN"/>
        </w:rPr>
      </w:pPr>
      <w:bookmarkStart w:id="0" w:name="_GoBack"/>
      <w:bookmarkEnd w:id="0"/>
      <w:r>
        <w:rPr>
          <w:rFonts w:hint="eastAsia" w:ascii="黑体" w:hAnsi="黑体" w:eastAsia="黑体" w:cs="黑体"/>
          <w:i w:val="0"/>
          <w:caps w:val="0"/>
          <w:color w:val="auto"/>
          <w:spacing w:val="0"/>
          <w:sz w:val="32"/>
          <w:szCs w:val="32"/>
          <w:shd w:val="clear" w:color="auto" w:fill="FFFFFF"/>
          <w:lang w:eastAsia="zh-CN"/>
        </w:rPr>
        <w:t>附件</w:t>
      </w:r>
      <w:r>
        <w:rPr>
          <w:rFonts w:hint="eastAsia" w:ascii="黑体" w:hAnsi="黑体" w:eastAsia="黑体" w:cs="黑体"/>
          <w:i w:val="0"/>
          <w:caps w:val="0"/>
          <w:color w:val="auto"/>
          <w:spacing w:val="0"/>
          <w:sz w:val="32"/>
          <w:szCs w:val="32"/>
          <w:shd w:val="clear" w:color="auto" w:fill="FFFFFF"/>
          <w:lang w:val="en-US" w:eastAsia="zh-CN"/>
        </w:rPr>
        <w:t xml:space="preserve"> </w:t>
      </w:r>
    </w:p>
    <w:p w14:paraId="4ADEDC3D">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楷体_GB2312" w:hAnsi="楷体_GB2312" w:eastAsia="楷体_GB2312" w:cs="楷体_GB2312"/>
          <w:color w:val="auto"/>
          <w:sz w:val="32"/>
          <w:szCs w:val="32"/>
        </w:rPr>
      </w:pPr>
      <w:r>
        <w:rPr>
          <w:rFonts w:hint="eastAsia" w:ascii="方正小标宋简体" w:hAnsi="方正小标宋简体" w:eastAsia="方正小标宋简体" w:cs="方正小标宋简体"/>
          <w:color w:val="auto"/>
          <w:sz w:val="44"/>
          <w:szCs w:val="44"/>
          <w:lang w:val="en-US" w:eastAsia="zh-CN"/>
        </w:rPr>
        <w:t>关于进一步规范</w:t>
      </w:r>
      <w:r>
        <w:rPr>
          <w:rFonts w:hint="eastAsia" w:ascii="方正小标宋简体" w:hAnsi="方正小标宋简体" w:eastAsia="方正小标宋简体" w:cs="方正小标宋简体"/>
          <w:color w:val="auto"/>
          <w:sz w:val="44"/>
          <w:szCs w:val="44"/>
        </w:rPr>
        <w:t>诊所</w:t>
      </w:r>
      <w:r>
        <w:rPr>
          <w:rFonts w:hint="eastAsia" w:ascii="方正小标宋简体" w:hAnsi="方正小标宋简体" w:eastAsia="方正小标宋简体" w:cs="方正小标宋简体"/>
          <w:color w:val="auto"/>
          <w:sz w:val="44"/>
          <w:szCs w:val="44"/>
          <w:lang w:val="en-US" w:eastAsia="zh-CN"/>
        </w:rPr>
        <w:t>备案</w:t>
      </w:r>
      <w:r>
        <w:rPr>
          <w:rFonts w:hint="eastAsia" w:ascii="方正小标宋简体" w:hAnsi="方正小标宋简体" w:eastAsia="方正小标宋简体" w:cs="方正小标宋简体"/>
          <w:color w:val="auto"/>
          <w:sz w:val="44"/>
          <w:szCs w:val="44"/>
        </w:rPr>
        <w:t>管理</w:t>
      </w:r>
      <w:r>
        <w:rPr>
          <w:rFonts w:hint="eastAsia" w:ascii="方正小标宋简体" w:hAnsi="方正小标宋简体" w:eastAsia="方正小标宋简体" w:cs="方正小标宋简体"/>
          <w:color w:val="auto"/>
          <w:sz w:val="44"/>
          <w:szCs w:val="44"/>
          <w:lang w:val="en-US" w:eastAsia="zh-CN"/>
        </w:rPr>
        <w:t>工作的通知</w:t>
      </w:r>
    </w:p>
    <w:p w14:paraId="5BB1C015">
      <w:pPr>
        <w:keepNext w:val="0"/>
        <w:keepLines w:val="0"/>
        <w:pageBreakBefore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color w:val="auto"/>
          <w:sz w:val="32"/>
          <w:szCs w:val="32"/>
        </w:rPr>
      </w:pPr>
    </w:p>
    <w:p w14:paraId="0AB84EA8">
      <w:pPr>
        <w:keepNext w:val="0"/>
        <w:keepLines w:val="0"/>
        <w:pageBreakBefore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各省辖市、济源示范区卫生健康委，航空港区教卫体局，南阳市中医药管理局：</w:t>
      </w:r>
    </w:p>
    <w:p w14:paraId="7831028F">
      <w:pPr>
        <w:keepNext w:val="0"/>
        <w:keepLines w:val="0"/>
        <w:pageBreakBefore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color w:val="auto"/>
          <w:sz w:val="32"/>
          <w:szCs w:val="32"/>
          <w:lang w:val="en-US" w:eastAsia="zh-CN"/>
        </w:rPr>
        <w:t>为进一步规范和加强诊所备案管理，根据</w:t>
      </w:r>
      <w:r>
        <w:rPr>
          <w:rFonts w:hint="eastAsia" w:ascii="仿宋_GB2312" w:hAnsi="仿宋_GB2312" w:eastAsia="仿宋_GB2312" w:cs="仿宋_GB2312"/>
          <w:i w:val="0"/>
          <w:iCs w:val="0"/>
          <w:caps w:val="0"/>
          <w:color w:val="auto"/>
          <w:spacing w:val="0"/>
          <w:sz w:val="32"/>
          <w:szCs w:val="32"/>
          <w:shd w:val="clear" w:color="auto" w:fill="FFFFFF"/>
        </w:rPr>
        <w:t>《医疗机构管理条例》《医疗机构管理条例</w:t>
      </w:r>
      <w:r>
        <w:rPr>
          <w:rFonts w:hint="eastAsia" w:ascii="仿宋_GB2312" w:hAnsi="仿宋_GB2312" w:eastAsia="仿宋_GB2312" w:cs="仿宋_GB2312"/>
          <w:i w:val="0"/>
          <w:iCs w:val="0"/>
          <w:caps w:val="0"/>
          <w:color w:val="auto"/>
          <w:spacing w:val="0"/>
          <w:sz w:val="32"/>
          <w:szCs w:val="32"/>
          <w:shd w:val="clear" w:color="auto" w:fill="FFFFFF"/>
          <w:lang w:val="en-US" w:eastAsia="zh-CN"/>
        </w:rPr>
        <w:t>实施细则</w:t>
      </w:r>
      <w:r>
        <w:rPr>
          <w:rFonts w:hint="eastAsia" w:ascii="仿宋_GB2312" w:hAnsi="仿宋_GB2312" w:eastAsia="仿宋_GB2312" w:cs="仿宋_GB2312"/>
          <w:i w:val="0"/>
          <w:iCs w:val="0"/>
          <w:caps w:val="0"/>
          <w:color w:val="auto"/>
          <w:spacing w:val="0"/>
          <w:sz w:val="32"/>
          <w:szCs w:val="32"/>
          <w:shd w:val="clear" w:color="auto" w:fill="FFFFFF"/>
        </w:rPr>
        <w:t>》</w:t>
      </w:r>
      <w:r>
        <w:rPr>
          <w:rFonts w:hint="eastAsia" w:ascii="仿宋_GB2312" w:hAnsi="仿宋_GB2312" w:eastAsia="仿宋_GB2312" w:cs="仿宋_GB2312"/>
          <w:i w:val="0"/>
          <w:iCs w:val="0"/>
          <w:caps w:val="0"/>
          <w:color w:val="auto"/>
          <w:spacing w:val="0"/>
          <w:sz w:val="32"/>
          <w:szCs w:val="32"/>
          <w:shd w:val="clear" w:color="auto" w:fill="FFFFFF"/>
          <w:lang w:val="en-US" w:eastAsia="zh-CN"/>
        </w:rPr>
        <w:t>及国家卫生健康委员会、国家中医药管理局</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lang w:val="en-US" w:eastAsia="zh-CN"/>
        </w:rPr>
        <w:t>关于印发诊所备案管理暂行办法的通知</w:t>
      </w:r>
      <w:r>
        <w:rPr>
          <w:rFonts w:hint="eastAsia" w:ascii="仿宋_GB2312" w:hAnsi="仿宋_GB2312" w:eastAsia="仿宋_GB2312" w:cs="仿宋_GB2312"/>
          <w:i w:val="0"/>
          <w:iCs w:val="0"/>
          <w:caps w:val="0"/>
          <w:color w:val="auto"/>
          <w:spacing w:val="0"/>
          <w:sz w:val="32"/>
          <w:szCs w:val="32"/>
          <w:shd w:val="clear" w:color="auto" w:fill="FFFFFF"/>
          <w:lang w:eastAsia="zh-CN"/>
        </w:rPr>
        <w:t>》（国卫医政发〔2022〕33号）</w:t>
      </w:r>
      <w:r>
        <w:rPr>
          <w:rFonts w:hint="eastAsia" w:ascii="仿宋_GB2312" w:hAnsi="仿宋_GB2312" w:eastAsia="仿宋_GB2312" w:cs="仿宋_GB2312"/>
          <w:i w:val="0"/>
          <w:iCs w:val="0"/>
          <w:caps w:val="0"/>
          <w:color w:val="auto"/>
          <w:spacing w:val="0"/>
          <w:sz w:val="32"/>
          <w:szCs w:val="32"/>
          <w:shd w:val="clear" w:color="auto" w:fill="FFFFFF"/>
          <w:lang w:val="en-US" w:eastAsia="zh-CN"/>
        </w:rPr>
        <w:t>等有关规定，现就有关事宜通知如下：</w:t>
      </w:r>
    </w:p>
    <w:p w14:paraId="1A07051B">
      <w:pPr>
        <w:keepNext w:val="0"/>
        <w:keepLines w:val="0"/>
        <w:pageBreakBefore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一、加强备案管理</w:t>
      </w:r>
    </w:p>
    <w:p w14:paraId="78F434A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楷体_GB2312" w:hAnsi="楷体_GB2312" w:eastAsia="楷体_GB2312" w:cs="楷体_GB2312"/>
          <w:color w:val="auto"/>
          <w:sz w:val="32"/>
          <w:szCs w:val="32"/>
          <w:lang w:val="en-US" w:eastAsia="zh-CN"/>
        </w:rPr>
        <w:t>（一）分层分级管理。</w:t>
      </w:r>
      <w:r>
        <w:rPr>
          <w:rFonts w:hint="eastAsia" w:ascii="仿宋_GB2312" w:hAnsi="仿宋_GB2312" w:eastAsia="仿宋_GB2312" w:cs="仿宋_GB2312"/>
          <w:i w:val="0"/>
          <w:iCs w:val="0"/>
          <w:caps w:val="0"/>
          <w:color w:val="auto"/>
          <w:spacing w:val="0"/>
          <w:sz w:val="32"/>
          <w:szCs w:val="32"/>
          <w:shd w:val="clear" w:color="auto" w:fill="FFFFFF"/>
          <w:lang w:val="en-US" w:eastAsia="zh-CN"/>
        </w:rPr>
        <w:t>县级以上地方人民政府卫生健康行政部门负责本行政区域内普通诊所、口腔诊所及医疗美容诊所的监督管理工作；县级人民政府卫生健康行政部门负责本行政区域内普通诊所、口腔诊所及医疗美容诊所的备案工作。</w:t>
      </w:r>
    </w:p>
    <w:p w14:paraId="6400D0D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县级以上人民政府中医药主管部门负责本行政区域内中医（综合）诊所及中西医结合诊所的监督管理工作；县级人民政府中医药主管部门负责本行政区域内中医（综合）诊所及中西医结合诊所的备案工作。中医诊所备案按照《中医诊所备案管理暂行办法》执行。</w:t>
      </w:r>
    </w:p>
    <w:p w14:paraId="4D40326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宋体"/>
          <w:color w:val="auto"/>
          <w:kern w:val="0"/>
          <w:sz w:val="32"/>
          <w:szCs w:val="32"/>
          <w:lang w:val="en-US" w:eastAsia="zh-CN"/>
        </w:rPr>
      </w:pPr>
      <w:r>
        <w:rPr>
          <w:rFonts w:hint="eastAsia" w:ascii="楷体_GB2312" w:hAnsi="楷体_GB2312" w:eastAsia="楷体_GB2312" w:cs="楷体_GB2312"/>
          <w:color w:val="auto"/>
          <w:sz w:val="32"/>
          <w:szCs w:val="32"/>
          <w:lang w:val="en-US" w:eastAsia="zh-CN"/>
        </w:rPr>
        <w:t>（二）明确设置主体。</w:t>
      </w:r>
      <w:r>
        <w:rPr>
          <w:rFonts w:hint="eastAsia" w:ascii="仿宋_GB2312" w:hAnsi="仿宋_GB2312" w:eastAsia="仿宋_GB2312" w:cs="仿宋_GB2312"/>
          <w:color w:val="auto"/>
          <w:sz w:val="32"/>
          <w:szCs w:val="32"/>
          <w:lang w:val="en-US" w:eastAsia="zh-CN"/>
        </w:rPr>
        <w:t>单位或者个人设置营利性诊所的，应当取得工商营业执照；设置非营利性诊所的，</w:t>
      </w:r>
      <w:r>
        <w:rPr>
          <w:rFonts w:hint="eastAsia" w:ascii="仿宋_GB2312" w:hAnsi="仿宋_GB2312" w:eastAsia="仿宋_GB2312" w:cs="仿宋_GB2312"/>
          <w:color w:val="auto"/>
          <w:sz w:val="32"/>
          <w:szCs w:val="32"/>
          <w:highlight w:val="none"/>
          <w:lang w:val="en-US" w:eastAsia="zh-CN"/>
        </w:rPr>
        <w:t>设置单位</w:t>
      </w:r>
      <w:r>
        <w:rPr>
          <w:rFonts w:hint="eastAsia" w:ascii="仿宋_GB2312" w:hAnsi="仿宋_GB2312" w:eastAsia="仿宋_GB2312" w:cs="仿宋_GB2312"/>
          <w:color w:val="auto"/>
          <w:sz w:val="32"/>
          <w:szCs w:val="32"/>
          <w:lang w:val="en-US" w:eastAsia="zh-CN"/>
        </w:rPr>
        <w:t>应当取得事业单位法人证书或民办非企业单位</w:t>
      </w:r>
      <w:r>
        <w:rPr>
          <w:rFonts w:hint="eastAsia" w:ascii="仿宋_GB2312" w:hAnsi="宋体" w:eastAsia="仿宋_GB2312" w:cs="宋体"/>
          <w:color w:val="auto"/>
          <w:kern w:val="0"/>
          <w:sz w:val="32"/>
          <w:szCs w:val="32"/>
          <w:lang w:val="en-US" w:eastAsia="zh-CN"/>
        </w:rPr>
        <w:t>法人证书。</w:t>
      </w:r>
    </w:p>
    <w:p w14:paraId="1203BEB9">
      <w:pPr>
        <w:widowControl/>
        <w:numPr>
          <w:ilvl w:val="0"/>
          <w:numId w:val="0"/>
        </w:numPr>
        <w:spacing w:line="560" w:lineRule="exact"/>
        <w:ind w:firstLine="640" w:firstLineChars="200"/>
        <w:jc w:val="left"/>
        <w:rPr>
          <w:rFonts w:hint="eastAsia" w:ascii="楷体_GB2312" w:hAnsi="楷体_GB2312" w:eastAsia="楷体_GB2312" w:cs="楷体_GB2312"/>
          <w:color w:val="auto"/>
          <w:kern w:val="2"/>
          <w:sz w:val="32"/>
          <w:szCs w:val="32"/>
          <w:lang w:eastAsia="zh-CN"/>
        </w:rPr>
      </w:pPr>
      <w:r>
        <w:rPr>
          <w:rFonts w:hint="eastAsia" w:ascii="楷体_GB2312" w:hAnsi="楷体_GB2312" w:eastAsia="楷体_GB2312" w:cs="楷体_GB2312"/>
          <w:color w:val="auto"/>
          <w:sz w:val="32"/>
          <w:szCs w:val="32"/>
          <w:lang w:val="en-US" w:eastAsia="zh-CN"/>
        </w:rPr>
        <w:t>（三）</w:t>
      </w:r>
      <w:r>
        <w:rPr>
          <w:rFonts w:hint="eastAsia" w:ascii="楷体_GB2312" w:hAnsi="楷体_GB2312" w:eastAsia="楷体_GB2312" w:cs="楷体_GB2312"/>
          <w:i w:val="0"/>
          <w:iCs w:val="0"/>
          <w:caps w:val="0"/>
          <w:color w:val="auto"/>
          <w:spacing w:val="0"/>
          <w:sz w:val="32"/>
          <w:szCs w:val="32"/>
          <w:highlight w:val="none"/>
          <w:shd w:val="clear" w:color="auto" w:fill="auto"/>
          <w:lang w:val="en-US" w:eastAsia="zh-CN"/>
        </w:rPr>
        <w:t>场所布局合理。</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诊所的</w:t>
      </w:r>
      <w:r>
        <w:rPr>
          <w:rFonts w:hint="eastAsia" w:ascii="仿宋_GB2312" w:hAnsi="仿宋_GB2312" w:eastAsia="仿宋_GB2312" w:cs="仿宋_GB2312"/>
          <w:i w:val="0"/>
          <w:iCs w:val="0"/>
          <w:caps w:val="0"/>
          <w:color w:val="auto"/>
          <w:spacing w:val="0"/>
          <w:sz w:val="32"/>
          <w:szCs w:val="32"/>
          <w:shd w:val="clear" w:color="auto" w:fill="FFFFFF"/>
          <w:lang w:val="en-US" w:eastAsia="zh-CN"/>
        </w:rPr>
        <w:t>房屋面积及场所布局应符合《诊所基本标准》要求，</w:t>
      </w:r>
      <w:r>
        <w:rPr>
          <w:rFonts w:hint="eastAsia" w:ascii="仿宋_GB2312" w:hAnsi="仿宋_GB2312" w:eastAsia="仿宋_GB2312" w:cs="仿宋_GB2312"/>
          <w:color w:val="auto"/>
          <w:kern w:val="2"/>
          <w:sz w:val="32"/>
          <w:szCs w:val="32"/>
          <w:shd w:val="clear" w:color="auto" w:fill="FFFFFF"/>
          <w:lang w:val="en-US" w:eastAsia="zh-CN"/>
        </w:rPr>
        <w:t>充分满足诊疗科目医疗需求</w:t>
      </w:r>
      <w:r>
        <w:rPr>
          <w:rFonts w:hint="eastAsia" w:ascii="仿宋_GB2312" w:hAnsi="仿宋_GB2312" w:eastAsia="仿宋_GB2312" w:cs="仿宋_GB2312"/>
          <w:color w:val="auto"/>
          <w:kern w:val="2"/>
          <w:sz w:val="32"/>
          <w:szCs w:val="32"/>
          <w:shd w:val="clear" w:color="auto" w:fill="FFFFFF"/>
        </w:rPr>
        <w:t>。</w:t>
      </w:r>
    </w:p>
    <w:p w14:paraId="7A4C1B94">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仿宋_GB2312" w:hAnsi="仿宋_GB2312" w:eastAsia="仿宋_GB2312" w:cs="仿宋_GB2312"/>
          <w:i w:val="0"/>
          <w:iCs w:val="0"/>
          <w:caps w:val="0"/>
          <w:strike w:val="0"/>
          <w:color w:val="auto"/>
          <w:spacing w:val="0"/>
          <w:sz w:val="32"/>
          <w:szCs w:val="32"/>
          <w:highlight w:val="none"/>
          <w:shd w:val="clear" w:color="auto" w:fill="FFFFFF"/>
          <w:lang w:val="en-US" w:eastAsia="zh-CN"/>
        </w:rPr>
      </w:pPr>
      <w:r>
        <w:rPr>
          <w:rFonts w:hint="eastAsia" w:ascii="楷体_GB2312" w:hAnsi="楷体_GB2312" w:eastAsia="楷体_GB2312" w:cs="楷体_GB2312"/>
          <w:strike w:val="0"/>
          <w:color w:val="auto"/>
          <w:sz w:val="32"/>
          <w:szCs w:val="32"/>
          <w:highlight w:val="none"/>
          <w:lang w:val="en-US" w:eastAsia="zh-CN"/>
        </w:rPr>
        <w:t>（四）规范核定名称。</w:t>
      </w:r>
      <w:r>
        <w:rPr>
          <w:rFonts w:hint="eastAsia" w:ascii="仿宋_GB2312" w:hAnsi="仿宋_GB2312" w:eastAsia="仿宋_GB2312" w:cs="仿宋_GB2312"/>
          <w:i w:val="0"/>
          <w:iCs w:val="0"/>
          <w:caps w:val="0"/>
          <w:strike w:val="0"/>
          <w:dstrike w:val="0"/>
          <w:color w:val="auto"/>
          <w:spacing w:val="0"/>
          <w:sz w:val="32"/>
          <w:szCs w:val="32"/>
          <w:highlight w:val="none"/>
          <w:shd w:val="clear" w:color="auto" w:fill="FFFFFF"/>
          <w:lang w:val="en-US" w:eastAsia="zh-CN"/>
        </w:rPr>
        <w:t>诊所名称应符合</w:t>
      </w:r>
      <w:r>
        <w:rPr>
          <w:rFonts w:hint="eastAsia" w:ascii="仿宋_GB2312" w:hAnsi="宋体" w:eastAsia="仿宋_GB2312" w:cs="宋体"/>
          <w:strike w:val="0"/>
          <w:color w:val="auto"/>
          <w:kern w:val="0"/>
          <w:sz w:val="32"/>
          <w:szCs w:val="32"/>
          <w:highlight w:val="none"/>
        </w:rPr>
        <w:t>《医疗机构管理条例》、《医疗机构管理条例实施细则》《河南省医疗机构管理办法》</w:t>
      </w:r>
      <w:r>
        <w:rPr>
          <w:rFonts w:hint="eastAsia" w:ascii="仿宋_GB2312" w:hAnsi="宋体" w:eastAsia="仿宋_GB2312" w:cs="宋体"/>
          <w:strike w:val="0"/>
          <w:color w:val="auto"/>
          <w:kern w:val="0"/>
          <w:sz w:val="32"/>
          <w:szCs w:val="32"/>
          <w:highlight w:val="none"/>
          <w:lang w:eastAsia="zh-CN"/>
        </w:rPr>
        <w:t>《</w:t>
      </w:r>
      <w:r>
        <w:rPr>
          <w:rFonts w:hint="eastAsia" w:ascii="仿宋_GB2312" w:hAnsi="宋体" w:eastAsia="仿宋_GB2312" w:cs="宋体"/>
          <w:b w:val="0"/>
          <w:strike w:val="0"/>
          <w:color w:val="auto"/>
          <w:kern w:val="0"/>
          <w:sz w:val="32"/>
          <w:szCs w:val="32"/>
          <w:highlight w:val="none"/>
        </w:rPr>
        <w:t>河南省医疗机构名称核准若干规定</w:t>
      </w:r>
      <w:r>
        <w:rPr>
          <w:rFonts w:hint="eastAsia" w:ascii="仿宋_GB2312" w:hAnsi="宋体" w:eastAsia="仿宋_GB2312" w:cs="宋体"/>
          <w:strike w:val="0"/>
          <w:color w:val="auto"/>
          <w:kern w:val="0"/>
          <w:sz w:val="32"/>
          <w:szCs w:val="32"/>
          <w:highlight w:val="none"/>
          <w:lang w:eastAsia="zh-CN"/>
        </w:rPr>
        <w:t>》</w:t>
      </w:r>
      <w:r>
        <w:rPr>
          <w:rFonts w:hint="eastAsia" w:ascii="仿宋_GB2312" w:hAnsi="宋体" w:eastAsia="仿宋_GB2312" w:cs="宋体"/>
          <w:strike w:val="0"/>
          <w:color w:val="auto"/>
          <w:kern w:val="0"/>
          <w:sz w:val="32"/>
          <w:szCs w:val="32"/>
          <w:highlight w:val="none"/>
          <w:lang w:val="en-US" w:eastAsia="zh-CN"/>
        </w:rPr>
        <w:t>等国家和我省关于医疗机构命名的有关要求</w:t>
      </w:r>
      <w:r>
        <w:rPr>
          <w:rFonts w:hint="eastAsia" w:ascii="仿宋_GB2312" w:hAnsi="仿宋_GB2312" w:eastAsia="仿宋_GB2312" w:cs="仿宋_GB2312"/>
          <w:strike w:val="0"/>
          <w:color w:val="auto"/>
          <w:sz w:val="32"/>
          <w:szCs w:val="32"/>
          <w:highlight w:val="none"/>
          <w:lang w:val="en-US" w:eastAsia="zh-CN"/>
        </w:rPr>
        <w:t>。</w:t>
      </w:r>
    </w:p>
    <w:p w14:paraId="3414EA2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楷体_GB2312" w:hAnsi="楷体_GB2312" w:eastAsia="楷体_GB2312" w:cs="楷体_GB2312"/>
          <w:color w:val="auto"/>
          <w:sz w:val="32"/>
          <w:szCs w:val="32"/>
          <w:lang w:val="en-US" w:eastAsia="zh-CN"/>
        </w:rPr>
        <w:t>（五）规范变更信息。</w:t>
      </w:r>
      <w:r>
        <w:rPr>
          <w:rFonts w:hint="eastAsia" w:ascii="仿宋_GB2312" w:hAnsi="仿宋_GB2312" w:eastAsia="仿宋_GB2312" w:cs="仿宋_GB2312"/>
          <w:i w:val="0"/>
          <w:iCs w:val="0"/>
          <w:caps w:val="0"/>
          <w:color w:val="auto"/>
          <w:spacing w:val="0"/>
          <w:sz w:val="32"/>
          <w:szCs w:val="32"/>
          <w:shd w:val="clear" w:color="auto" w:fill="FFFFFF"/>
          <w:lang w:eastAsia="zh-CN"/>
        </w:rPr>
        <w:t>诊所</w:t>
      </w:r>
      <w:r>
        <w:rPr>
          <w:rFonts w:hint="eastAsia" w:ascii="仿宋_GB2312" w:hAnsi="仿宋_GB2312" w:eastAsia="仿宋_GB2312" w:cs="仿宋_GB2312"/>
          <w:b w:val="0"/>
          <w:bCs w:val="0"/>
          <w:color w:val="auto"/>
          <w:sz w:val="32"/>
          <w:szCs w:val="32"/>
          <w:lang w:val="en-US" w:eastAsia="zh-CN"/>
        </w:rPr>
        <w:t>的</w:t>
      </w:r>
      <w:r>
        <w:rPr>
          <w:rFonts w:hint="eastAsia" w:ascii="仿宋_GB2312" w:hAnsi="仿宋_GB2312" w:eastAsia="仿宋_GB2312" w:cs="仿宋_GB2312"/>
          <w:i w:val="0"/>
          <w:iCs w:val="0"/>
          <w:caps w:val="0"/>
          <w:color w:val="auto"/>
          <w:spacing w:val="0"/>
          <w:sz w:val="32"/>
          <w:szCs w:val="32"/>
          <w:shd w:val="clear" w:color="auto" w:fill="FFFFFF"/>
          <w:lang w:eastAsia="zh-CN"/>
        </w:rPr>
        <w:t>名称、地址、</w:t>
      </w:r>
      <w:r>
        <w:rPr>
          <w:rFonts w:hint="eastAsia" w:ascii="仿宋_GB2312" w:hAnsi="仿宋_GB2312" w:eastAsia="仿宋_GB2312" w:cs="仿宋_GB2312"/>
          <w:b w:val="0"/>
          <w:bCs w:val="0"/>
          <w:color w:val="auto"/>
          <w:sz w:val="32"/>
          <w:szCs w:val="32"/>
          <w:highlight w:val="none"/>
          <w:lang w:val="en-US" w:eastAsia="zh-CN"/>
        </w:rPr>
        <w:t>法定代表人或者</w:t>
      </w:r>
      <w:r>
        <w:rPr>
          <w:rFonts w:hint="eastAsia" w:ascii="仿宋_GB2312" w:hAnsi="仿宋_GB2312" w:eastAsia="仿宋_GB2312" w:cs="仿宋_GB2312"/>
          <w:i w:val="0"/>
          <w:iCs w:val="0"/>
          <w:caps w:val="0"/>
          <w:color w:val="auto"/>
          <w:spacing w:val="0"/>
          <w:sz w:val="32"/>
          <w:szCs w:val="32"/>
          <w:shd w:val="clear" w:color="auto" w:fill="FFFFFF"/>
          <w:lang w:eastAsia="zh-CN"/>
        </w:rPr>
        <w:t>主要负责人、</w:t>
      </w:r>
      <w:r>
        <w:rPr>
          <w:rFonts w:hint="eastAsia" w:ascii="仿宋_GB2312" w:hAnsi="仿宋_GB2312" w:eastAsia="仿宋_GB2312" w:cs="仿宋_GB2312"/>
          <w:i w:val="0"/>
          <w:iCs w:val="0"/>
          <w:caps w:val="0"/>
          <w:color w:val="auto"/>
          <w:spacing w:val="0"/>
          <w:sz w:val="32"/>
          <w:szCs w:val="32"/>
          <w:shd w:val="clear" w:color="auto" w:fill="FFFFFF"/>
          <w:lang w:val="en-US" w:eastAsia="zh-CN"/>
        </w:rPr>
        <w:t>所有制形式、</w:t>
      </w:r>
      <w:r>
        <w:rPr>
          <w:rFonts w:hint="eastAsia" w:ascii="仿宋_GB2312" w:hAnsi="仿宋_GB2312" w:eastAsia="仿宋_GB2312" w:cs="仿宋_GB2312"/>
          <w:i w:val="0"/>
          <w:iCs w:val="0"/>
          <w:caps w:val="0"/>
          <w:color w:val="auto"/>
          <w:spacing w:val="0"/>
          <w:sz w:val="32"/>
          <w:szCs w:val="32"/>
          <w:shd w:val="clear" w:color="auto" w:fill="FFFFFF"/>
          <w:lang w:eastAsia="zh-CN"/>
        </w:rPr>
        <w:t>诊疗科目、</w:t>
      </w:r>
      <w:r>
        <w:rPr>
          <w:rFonts w:hint="eastAsia" w:ascii="仿宋_GB2312" w:hAnsi="仿宋_GB2312" w:eastAsia="仿宋_GB2312" w:cs="仿宋_GB2312"/>
          <w:i w:val="0"/>
          <w:iCs w:val="0"/>
          <w:caps w:val="0"/>
          <w:color w:val="auto"/>
          <w:spacing w:val="0"/>
          <w:sz w:val="32"/>
          <w:szCs w:val="32"/>
          <w:shd w:val="clear" w:color="auto" w:fill="FFFFFF"/>
          <w:lang w:val="en-US" w:eastAsia="zh-CN"/>
        </w:rPr>
        <w:t>服务方式等实际设置应当与诊所备案凭证记载事项相一致。</w:t>
      </w:r>
    </w:p>
    <w:p w14:paraId="268FF21A">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1.单位设置的诊所，</w:t>
      </w:r>
      <w:r>
        <w:rPr>
          <w:rFonts w:hint="eastAsia" w:ascii="仿宋_GB2312" w:hAnsi="仿宋_GB2312" w:eastAsia="仿宋_GB2312" w:cs="仿宋_GB2312"/>
          <w:i w:val="0"/>
          <w:iCs w:val="0"/>
          <w:caps w:val="0"/>
          <w:color w:val="auto"/>
          <w:spacing w:val="0"/>
          <w:sz w:val="32"/>
          <w:szCs w:val="32"/>
          <w:shd w:val="clear" w:color="auto" w:fill="FFFFFF"/>
          <w:lang w:eastAsia="zh-CN"/>
        </w:rPr>
        <w:t>名称、</w:t>
      </w:r>
      <w:r>
        <w:rPr>
          <w:rFonts w:hint="eastAsia" w:ascii="仿宋_GB2312" w:hAnsi="仿宋_GB2312" w:eastAsia="仿宋_GB2312" w:cs="仿宋_GB2312"/>
          <w:i w:val="0"/>
          <w:iCs w:val="0"/>
          <w:caps w:val="0"/>
          <w:color w:val="auto"/>
          <w:spacing w:val="0"/>
          <w:sz w:val="32"/>
          <w:szCs w:val="32"/>
          <w:shd w:val="clear" w:color="auto" w:fill="FFFFFF"/>
          <w:lang w:val="en-US" w:eastAsia="zh-CN"/>
        </w:rPr>
        <w:t>门牌号</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b w:val="0"/>
          <w:bCs w:val="0"/>
          <w:color w:val="auto"/>
          <w:sz w:val="32"/>
          <w:szCs w:val="32"/>
          <w:highlight w:val="none"/>
          <w:lang w:val="en-US" w:eastAsia="zh-CN"/>
        </w:rPr>
        <w:t>法定代表人或者</w:t>
      </w:r>
      <w:r>
        <w:rPr>
          <w:rFonts w:hint="eastAsia" w:ascii="仿宋_GB2312" w:hAnsi="仿宋_GB2312" w:eastAsia="仿宋_GB2312" w:cs="仿宋_GB2312"/>
          <w:i w:val="0"/>
          <w:iCs w:val="0"/>
          <w:caps w:val="0"/>
          <w:color w:val="auto"/>
          <w:spacing w:val="0"/>
          <w:sz w:val="32"/>
          <w:szCs w:val="32"/>
          <w:shd w:val="clear" w:color="auto" w:fill="FFFFFF"/>
          <w:lang w:eastAsia="zh-CN"/>
        </w:rPr>
        <w:t>主要负责人、诊疗科目</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发生变动的，应当向原备案机关办理变更备案。</w:t>
      </w:r>
    </w:p>
    <w:p w14:paraId="4F065AD8">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2.个人设置的诊所，门牌号</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、诊疗科目</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发生变动的，应</w:t>
      </w:r>
      <w:r>
        <w:rPr>
          <w:rFonts w:hint="eastAsia" w:ascii="仿宋_GB2312" w:hAnsi="仿宋_GB2312" w:eastAsia="仿宋_GB2312" w:cs="仿宋_GB2312"/>
          <w:i w:val="0"/>
          <w:iCs w:val="0"/>
          <w:caps w:val="0"/>
          <w:color w:val="auto"/>
          <w:spacing w:val="0"/>
          <w:sz w:val="32"/>
          <w:szCs w:val="32"/>
          <w:shd w:val="clear" w:color="auto" w:fill="FFFFFF"/>
          <w:lang w:val="en-US" w:eastAsia="zh-CN"/>
        </w:rPr>
        <w:t>当向原备案机关办理变更备案。</w:t>
      </w:r>
    </w:p>
    <w:p w14:paraId="2019D241">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3.其他</w:t>
      </w:r>
      <w:r>
        <w:rPr>
          <w:rFonts w:hint="eastAsia" w:ascii="仿宋_GB2312" w:hAnsi="仿宋_GB2312" w:eastAsia="仿宋_GB2312" w:cs="仿宋_GB2312"/>
          <w:i w:val="0"/>
          <w:iCs w:val="0"/>
          <w:caps w:val="0"/>
          <w:color w:val="auto"/>
          <w:spacing w:val="0"/>
          <w:sz w:val="32"/>
          <w:szCs w:val="32"/>
          <w:shd w:val="clear" w:color="auto" w:fill="FFFFFF"/>
          <w:lang w:eastAsia="zh-CN"/>
        </w:rPr>
        <w:t>备案</w:t>
      </w:r>
      <w:r>
        <w:rPr>
          <w:rFonts w:hint="eastAsia" w:ascii="仿宋_GB2312" w:hAnsi="仿宋_GB2312" w:eastAsia="仿宋_GB2312" w:cs="仿宋_GB2312"/>
          <w:i w:val="0"/>
          <w:iCs w:val="0"/>
          <w:caps w:val="0"/>
          <w:color w:val="auto"/>
          <w:spacing w:val="0"/>
          <w:sz w:val="32"/>
          <w:szCs w:val="32"/>
          <w:shd w:val="clear" w:color="auto" w:fill="FFFFFF"/>
          <w:lang w:val="en-US" w:eastAsia="zh-CN"/>
        </w:rPr>
        <w:t>信息</w:t>
      </w:r>
      <w:r>
        <w:rPr>
          <w:rFonts w:hint="eastAsia" w:ascii="仿宋_GB2312" w:hAnsi="仿宋_GB2312" w:eastAsia="仿宋_GB2312" w:cs="仿宋_GB2312"/>
          <w:i w:val="0"/>
          <w:iCs w:val="0"/>
          <w:caps w:val="0"/>
          <w:color w:val="auto"/>
          <w:spacing w:val="0"/>
          <w:sz w:val="32"/>
          <w:szCs w:val="32"/>
          <w:shd w:val="clear" w:color="auto" w:fill="FFFFFF"/>
          <w:lang w:eastAsia="zh-CN"/>
        </w:rPr>
        <w:t>发生变动</w:t>
      </w:r>
      <w:r>
        <w:rPr>
          <w:rFonts w:hint="eastAsia" w:ascii="仿宋_GB2312" w:hAnsi="仿宋_GB2312" w:eastAsia="仿宋_GB2312" w:cs="仿宋_GB2312"/>
          <w:i w:val="0"/>
          <w:iCs w:val="0"/>
          <w:caps w:val="0"/>
          <w:color w:val="auto"/>
          <w:spacing w:val="0"/>
          <w:sz w:val="32"/>
          <w:szCs w:val="32"/>
          <w:shd w:val="clear" w:color="auto" w:fill="FFFFFF"/>
          <w:lang w:val="en-US" w:eastAsia="zh-CN"/>
        </w:rPr>
        <w:t>时</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应当</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注销</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原诊所备案凭证后重新备案。</w:t>
      </w:r>
    </w:p>
    <w:p w14:paraId="70E0D4E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二、规范执业管理</w:t>
      </w:r>
    </w:p>
    <w:p w14:paraId="03E62DD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（一）执业管理应当遵循以下原则</w:t>
      </w:r>
    </w:p>
    <w:p w14:paraId="24C3E2A3">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1.信息公示。应当在明显位置公示法人证书、</w:t>
      </w:r>
      <w:r>
        <w:rPr>
          <w:rFonts w:hint="eastAsia" w:ascii="仿宋_GB2312" w:hAnsi="仿宋_GB2312" w:eastAsia="仿宋_GB2312" w:cs="仿宋_GB2312"/>
          <w:i w:val="0"/>
          <w:iCs w:val="0"/>
          <w:caps w:val="0"/>
          <w:color w:val="auto"/>
          <w:spacing w:val="0"/>
          <w:sz w:val="32"/>
          <w:szCs w:val="32"/>
          <w:shd w:val="clear" w:color="auto" w:fill="FFFFFF"/>
          <w:lang w:eastAsia="zh-CN"/>
        </w:rPr>
        <w:t>诊所备案凭证、卫生技术人员</w:t>
      </w:r>
      <w:r>
        <w:rPr>
          <w:rFonts w:hint="eastAsia" w:ascii="仿宋_GB2312" w:hAnsi="仿宋_GB2312" w:eastAsia="仿宋_GB2312" w:cs="仿宋_GB2312"/>
          <w:b w:val="0"/>
          <w:bCs w:val="0"/>
          <w:color w:val="auto"/>
          <w:sz w:val="32"/>
          <w:szCs w:val="32"/>
          <w:lang w:val="en-US" w:eastAsia="zh-CN"/>
        </w:rPr>
        <w:t>执业注册</w:t>
      </w:r>
      <w:r>
        <w:rPr>
          <w:rFonts w:hint="eastAsia" w:ascii="仿宋_GB2312" w:hAnsi="仿宋_GB2312" w:eastAsia="仿宋_GB2312" w:cs="仿宋_GB2312"/>
          <w:i w:val="0"/>
          <w:iCs w:val="0"/>
          <w:caps w:val="0"/>
          <w:color w:val="auto"/>
          <w:spacing w:val="0"/>
          <w:sz w:val="32"/>
          <w:szCs w:val="32"/>
          <w:shd w:val="clear" w:color="auto" w:fill="FFFFFF"/>
          <w:lang w:eastAsia="zh-CN"/>
        </w:rPr>
        <w:t>信息、</w:t>
      </w:r>
      <w:r>
        <w:rPr>
          <w:rFonts w:hint="eastAsia" w:ascii="仿宋_GB2312" w:hAnsi="仿宋_GB2312" w:eastAsia="仿宋_GB2312" w:cs="仿宋_GB2312"/>
          <w:i w:val="0"/>
          <w:iCs w:val="0"/>
          <w:caps w:val="0"/>
          <w:color w:val="auto"/>
          <w:spacing w:val="0"/>
          <w:sz w:val="32"/>
          <w:szCs w:val="32"/>
          <w:shd w:val="clear" w:color="auto" w:fill="FFFFFF"/>
          <w:lang w:val="en-US" w:eastAsia="zh-CN"/>
        </w:rPr>
        <w:t>收费项目及价格、监督电话等重要信息。</w:t>
      </w:r>
    </w:p>
    <w:p w14:paraId="301E2DA1">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b/>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2.</w:t>
      </w:r>
      <w:r>
        <w:rPr>
          <w:rFonts w:hint="eastAsia" w:ascii="仿宋_GB2312" w:hAnsi="仿宋_GB2312" w:eastAsia="仿宋_GB2312" w:cs="仿宋_GB2312"/>
          <w:i w:val="0"/>
          <w:iCs w:val="0"/>
          <w:caps w:val="0"/>
          <w:color w:val="auto"/>
          <w:spacing w:val="0"/>
          <w:sz w:val="32"/>
          <w:szCs w:val="32"/>
          <w:shd w:val="clear" w:color="auto" w:fill="FFFFFF"/>
          <w:lang w:val="en-US" w:eastAsia="zh-CN"/>
        </w:rPr>
        <w:t>工作制度。应当执行卫生健康行政部门规定的各项规章制度和技术操作规范。常用工作制度及诊所人员岗位职责应悬挂在诊所显著位置。</w:t>
      </w:r>
    </w:p>
    <w:p w14:paraId="53BA4001">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3.医疗文书。应当规范医疗文书管理，门诊病历、处方、治疗单、报告单等应符合国家及我省有关要求。</w:t>
      </w:r>
    </w:p>
    <w:p w14:paraId="354AB767">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4.</w:t>
      </w:r>
      <w:r>
        <w:rPr>
          <w:rFonts w:hint="eastAsia" w:ascii="仿宋_GB2312" w:hAnsi="仿宋_GB2312" w:eastAsia="仿宋_GB2312" w:cs="仿宋_GB2312"/>
          <w:i w:val="0"/>
          <w:iCs w:val="0"/>
          <w:caps w:val="0"/>
          <w:color w:val="auto"/>
          <w:spacing w:val="0"/>
          <w:sz w:val="32"/>
          <w:szCs w:val="32"/>
          <w:shd w:val="clear" w:color="auto" w:fill="FFFFFF"/>
          <w:lang w:val="en-US" w:eastAsia="zh-CN"/>
        </w:rPr>
        <w:t>操作规程。应当执行卫生健康行政部门规定的各项技术操作规范。</w:t>
      </w:r>
    </w:p>
    <w:p w14:paraId="7B254CD9">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5.医废管理。应当执行《医疗废物管理条例》《医疗卫生机构医疗废物管理办法》等有关规定，规范医疗废物管理。</w:t>
      </w:r>
    </w:p>
    <w:p w14:paraId="0F06B2F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仿宋_GB2312" w:hAnsi="仿宋_GB2312" w:eastAsia="仿宋_GB2312" w:cs="仿宋_GB2312"/>
          <w:color w:val="auto"/>
          <w:kern w:val="2"/>
          <w:sz w:val="32"/>
          <w:szCs w:val="32"/>
          <w:shd w:val="clear" w:color="auto" w:fill="FFFFFF"/>
          <w:lang w:val="en-US" w:eastAsia="zh-CN" w:bidi="ar-SA"/>
        </w:rPr>
        <w:t>6.放射诊疗。开展放射诊疗工作应当符合《放射诊疗管理规定》等有关要求</w:t>
      </w:r>
      <w:r>
        <w:rPr>
          <w:rFonts w:hint="eastAsia" w:ascii="仿宋_GB2312" w:hAnsi="仿宋_GB2312" w:eastAsia="仿宋_GB2312" w:cs="仿宋_GB2312"/>
          <w:i w:val="0"/>
          <w:iCs w:val="0"/>
          <w:caps w:val="0"/>
          <w:color w:val="auto"/>
          <w:spacing w:val="0"/>
          <w:kern w:val="2"/>
          <w:sz w:val="32"/>
          <w:szCs w:val="32"/>
          <w:highlight w:val="none"/>
          <w:shd w:val="clear" w:color="auto" w:fill="FFFFFF"/>
          <w:lang w:val="en-US" w:eastAsia="zh-CN" w:bidi="ar-SA"/>
        </w:rPr>
        <w:t>。</w:t>
      </w:r>
    </w:p>
    <w:p w14:paraId="05944DE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（二）执业期间不得从事下列活动</w:t>
      </w:r>
    </w:p>
    <w:p w14:paraId="30F71F1E">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1.不得</w:t>
      </w:r>
      <w:r>
        <w:rPr>
          <w:rFonts w:hint="eastAsia" w:ascii="仿宋_GB2312" w:hAnsi="仿宋_GB2312" w:eastAsia="仿宋_GB2312" w:cs="仿宋_GB2312"/>
          <w:i w:val="0"/>
          <w:iCs w:val="0"/>
          <w:caps w:val="0"/>
          <w:color w:val="auto"/>
          <w:spacing w:val="0"/>
          <w:kern w:val="2"/>
          <w:sz w:val="32"/>
          <w:szCs w:val="32"/>
          <w:shd w:val="clear" w:color="auto" w:fill="FFFFFF"/>
          <w:lang w:val="en-US" w:eastAsia="zh-CN" w:bidi="ar-SA"/>
        </w:rPr>
        <w:t>伪造、涂改、出卖、转让、出借诊所备案凭证。</w:t>
      </w:r>
    </w:p>
    <w:p w14:paraId="5DECE0B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2.不得在备案场所以外的其它地方执业，符合相关法律法规政策的情形除外。</w:t>
      </w:r>
    </w:p>
    <w:p w14:paraId="66A1A66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3.不得使用未在本诊所注册或备案的</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医疗</w:t>
      </w:r>
      <w:r>
        <w:rPr>
          <w:rFonts w:hint="eastAsia" w:ascii="仿宋_GB2312" w:hAnsi="仿宋_GB2312" w:eastAsia="仿宋_GB2312" w:cs="仿宋_GB2312"/>
          <w:i w:val="0"/>
          <w:iCs w:val="0"/>
          <w:caps w:val="0"/>
          <w:color w:val="auto"/>
          <w:spacing w:val="0"/>
          <w:sz w:val="32"/>
          <w:szCs w:val="32"/>
          <w:shd w:val="clear" w:color="auto" w:fill="FFFFFF"/>
          <w:lang w:val="en-US" w:eastAsia="zh-CN"/>
        </w:rPr>
        <w:t>卫生技术人员。</w:t>
      </w:r>
    </w:p>
    <w:p w14:paraId="42C2D250">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b/>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4.不得开展</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备案诊疗科目</w:t>
      </w:r>
      <w:r>
        <w:rPr>
          <w:rFonts w:hint="eastAsia" w:ascii="仿宋_GB2312" w:hAnsi="仿宋_GB2312" w:eastAsia="仿宋_GB2312" w:cs="仿宋_GB2312"/>
          <w:i w:val="0"/>
          <w:iCs w:val="0"/>
          <w:caps w:val="0"/>
          <w:color w:val="auto"/>
          <w:spacing w:val="0"/>
          <w:sz w:val="32"/>
          <w:szCs w:val="32"/>
          <w:shd w:val="clear" w:color="auto" w:fill="FFFFFF"/>
          <w:lang w:val="en-US" w:eastAsia="zh-CN"/>
        </w:rPr>
        <w:t>之外的诊疗业务。</w:t>
      </w:r>
    </w:p>
    <w:p w14:paraId="37F19E13">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5.</w:t>
      </w:r>
      <w:r>
        <w:rPr>
          <w:rFonts w:hint="eastAsia" w:ascii="仿宋_GB2312" w:hAnsi="仿宋_GB2312" w:eastAsia="仿宋_GB2312" w:cs="仿宋_GB2312"/>
          <w:i w:val="0"/>
          <w:iCs w:val="0"/>
          <w:caps w:val="0"/>
          <w:color w:val="auto"/>
          <w:spacing w:val="0"/>
          <w:sz w:val="32"/>
          <w:szCs w:val="32"/>
          <w:shd w:val="clear" w:color="auto" w:fill="FFFFFF"/>
          <w:lang w:val="en-US" w:eastAsia="zh-CN"/>
        </w:rPr>
        <w:t>不得开展未在卫生健康行政部门备案的限制类技术。</w:t>
      </w:r>
    </w:p>
    <w:p w14:paraId="2D7A1B6C">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三）诊所应当建立完善的医疗质量、医疗安全等相关管理制度，加强对工作人员、诊疗活动、医疗质量、医疗安全等方面的管理。诊所执业人员应当积极参加专业技术培训、继续教育等活动，提高专业技术水平。开展医疗技术服务应当符合《医疗技术临床应用管理办法》的有关规定。</w:t>
      </w:r>
    </w:p>
    <w:p w14:paraId="4558CBA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b/>
          <w:bCs/>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三、强化日常监管</w:t>
      </w:r>
    </w:p>
    <w:p w14:paraId="0CD98B6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i w:val="0"/>
          <w:iCs w:val="0"/>
          <w:caps w:val="0"/>
          <w:color w:val="auto"/>
          <w:spacing w:val="0"/>
          <w:sz w:val="32"/>
          <w:szCs w:val="32"/>
          <w:shd w:val="clear" w:color="auto" w:fill="FFFFFF"/>
          <w:lang w:val="en-US" w:eastAsia="zh-CN"/>
        </w:rPr>
        <w:t>（一）现场核查。</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县级卫生健康行政部门应当对新设置的诊所自发放诊所备案凭证之日起45日内进行现场核查，</w:t>
      </w:r>
      <w:r>
        <w:rPr>
          <w:rFonts w:hint="eastAsia" w:ascii="仿宋_GB2312" w:hAnsi="仿宋_GB2312" w:eastAsia="仿宋_GB2312" w:cs="仿宋_GB2312"/>
          <w:color w:val="auto"/>
          <w:sz w:val="32"/>
          <w:szCs w:val="32"/>
        </w:rPr>
        <w:t>对不符合</w:t>
      </w:r>
      <w:r>
        <w:rPr>
          <w:rFonts w:hint="eastAsia" w:ascii="仿宋_GB2312" w:hAnsi="仿宋_GB2312" w:eastAsia="仿宋_GB2312" w:cs="仿宋_GB2312"/>
          <w:color w:val="auto"/>
          <w:sz w:val="32"/>
          <w:szCs w:val="32"/>
          <w:lang w:val="en-US" w:eastAsia="zh-CN"/>
        </w:rPr>
        <w:t>备案条件</w:t>
      </w:r>
      <w:r>
        <w:rPr>
          <w:rFonts w:hint="eastAsia" w:ascii="仿宋_GB2312" w:hAnsi="仿宋_GB2312" w:eastAsia="仿宋_GB2312" w:cs="仿宋_GB2312"/>
          <w:color w:val="auto"/>
          <w:sz w:val="32"/>
          <w:szCs w:val="32"/>
        </w:rPr>
        <w:t>的应</w:t>
      </w:r>
      <w:r>
        <w:rPr>
          <w:rFonts w:hint="eastAsia" w:ascii="仿宋_GB2312" w:hAnsi="仿宋_GB2312" w:eastAsia="仿宋_GB2312" w:cs="仿宋_GB2312"/>
          <w:color w:val="auto"/>
          <w:sz w:val="32"/>
          <w:szCs w:val="32"/>
          <w:lang w:val="en-US" w:eastAsia="zh-CN"/>
        </w:rPr>
        <w:t>当</w:t>
      </w:r>
      <w:r>
        <w:rPr>
          <w:rFonts w:hint="eastAsia" w:ascii="仿宋_GB2312" w:hAnsi="仿宋_GB2312" w:eastAsia="仿宋_GB2312" w:cs="仿宋_GB2312"/>
          <w:color w:val="auto"/>
          <w:sz w:val="32"/>
          <w:szCs w:val="32"/>
        </w:rPr>
        <w:t>限期整改，逾期拒不整改或者整改后仍不符合条件的，撤销其备案并及时向社会公告。</w:t>
      </w:r>
    </w:p>
    <w:p w14:paraId="60B93B47">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strike w:val="0"/>
          <w:dstrike w:val="0"/>
          <w:color w:val="auto"/>
          <w:kern w:val="0"/>
          <w:sz w:val="32"/>
          <w:szCs w:val="32"/>
          <w:lang w:val="en-US" w:eastAsia="zh-CN" w:bidi="ar"/>
        </w:rPr>
        <w:t>（</w:t>
      </w:r>
      <w:r>
        <w:rPr>
          <w:rFonts w:hint="eastAsia" w:ascii="楷体_GB2312" w:hAnsi="楷体_GB2312" w:eastAsia="楷体_GB2312" w:cs="楷体_GB2312"/>
          <w:i w:val="0"/>
          <w:iCs w:val="0"/>
          <w:caps w:val="0"/>
          <w:color w:val="auto"/>
          <w:spacing w:val="0"/>
          <w:sz w:val="32"/>
          <w:szCs w:val="32"/>
          <w:shd w:val="clear" w:color="auto" w:fill="FFFFFF"/>
          <w:lang w:val="en-US" w:eastAsia="zh-CN"/>
        </w:rPr>
        <w:t>二</w:t>
      </w:r>
      <w:r>
        <w:rPr>
          <w:rFonts w:hint="eastAsia" w:ascii="楷体_GB2312" w:hAnsi="楷体_GB2312" w:eastAsia="楷体_GB2312" w:cs="楷体_GB2312"/>
          <w:strike w:val="0"/>
          <w:dstrike w:val="0"/>
          <w:color w:val="auto"/>
          <w:kern w:val="0"/>
          <w:sz w:val="32"/>
          <w:szCs w:val="32"/>
          <w:lang w:val="en-US" w:eastAsia="zh-CN" w:bidi="ar"/>
        </w:rPr>
        <w:t>）质量管理。</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县级卫生健康行政部门应当加强对诊所执业活动、医疗质量、医疗安全等情况的监督管理，</w:t>
      </w:r>
      <w:r>
        <w:rPr>
          <w:rFonts w:hint="eastAsia" w:ascii="仿宋_GB2312" w:hAnsi="仿宋_GB2312" w:eastAsia="仿宋_GB2312" w:cs="仿宋_GB2312"/>
          <w:color w:val="auto"/>
          <w:kern w:val="2"/>
          <w:sz w:val="32"/>
          <w:szCs w:val="32"/>
          <w:lang w:val="en-US" w:eastAsia="zh-CN" w:bidi="ar-SA"/>
        </w:rPr>
        <w:t>充分利用信息化、大数据等手段提升监管效能，将诊所纳入本地医疗质量管理控制体系，确保医疗质量安全。</w:t>
      </w:r>
    </w:p>
    <w:p w14:paraId="7DE9B4F1">
      <w:pPr>
        <w:widowControl/>
        <w:spacing w:line="560"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诊所应当与备案机关所在地诊所信息化监管平台对接，及时上传执业活动等相关信息，主动接受监督。</w:t>
      </w:r>
    </w:p>
    <w:p w14:paraId="216728B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rPr>
      </w:pPr>
      <w:r>
        <w:rPr>
          <w:rFonts w:hint="eastAsia" w:ascii="楷体_GB2312" w:hAnsi="楷体_GB2312" w:eastAsia="楷体_GB2312" w:cs="楷体_GB2312"/>
          <w:strike w:val="0"/>
          <w:dstrike w:val="0"/>
          <w:color w:val="auto"/>
          <w:kern w:val="0"/>
          <w:sz w:val="32"/>
          <w:szCs w:val="32"/>
          <w:lang w:val="en-US" w:eastAsia="zh-CN" w:bidi="ar"/>
        </w:rPr>
        <w:t>（</w:t>
      </w:r>
      <w:r>
        <w:rPr>
          <w:rFonts w:hint="eastAsia" w:ascii="楷体_GB2312" w:hAnsi="楷体_GB2312" w:eastAsia="楷体_GB2312" w:cs="楷体_GB2312"/>
          <w:i w:val="0"/>
          <w:iCs w:val="0"/>
          <w:caps w:val="0"/>
          <w:color w:val="auto"/>
          <w:spacing w:val="0"/>
          <w:sz w:val="32"/>
          <w:szCs w:val="32"/>
          <w:shd w:val="clear" w:color="auto" w:fill="FFFFFF"/>
          <w:lang w:val="en-US" w:eastAsia="zh-CN"/>
        </w:rPr>
        <w:t>三</w:t>
      </w:r>
      <w:r>
        <w:rPr>
          <w:rFonts w:hint="eastAsia" w:ascii="楷体_GB2312" w:hAnsi="楷体_GB2312" w:eastAsia="楷体_GB2312" w:cs="楷体_GB2312"/>
          <w:strike w:val="0"/>
          <w:dstrike w:val="0"/>
          <w:color w:val="auto"/>
          <w:kern w:val="0"/>
          <w:sz w:val="32"/>
          <w:szCs w:val="32"/>
          <w:lang w:val="en-US" w:eastAsia="zh-CN" w:bidi="ar"/>
        </w:rPr>
        <w:t>）</w:t>
      </w:r>
      <w:r>
        <w:rPr>
          <w:rFonts w:hint="eastAsia" w:ascii="楷体_GB2312" w:hAnsi="楷体_GB2312" w:eastAsia="楷体_GB2312" w:cs="楷体_GB2312"/>
          <w:i w:val="0"/>
          <w:iCs w:val="0"/>
          <w:caps w:val="0"/>
          <w:color w:val="auto"/>
          <w:spacing w:val="0"/>
          <w:sz w:val="32"/>
          <w:szCs w:val="32"/>
          <w:shd w:val="clear" w:color="auto" w:fill="FFFFFF"/>
          <w:lang w:val="en-US" w:eastAsia="zh-CN"/>
        </w:rPr>
        <w:t>监督检查。</w:t>
      </w:r>
      <w:r>
        <w:rPr>
          <w:rFonts w:hint="eastAsia" w:ascii="仿宋_GB2312" w:hAnsi="仿宋_GB2312" w:eastAsia="仿宋_GB2312" w:cs="仿宋_GB2312"/>
          <w:color w:val="auto"/>
          <w:sz w:val="32"/>
          <w:szCs w:val="32"/>
          <w:highlight w:val="none"/>
          <w:lang w:val="en-US" w:eastAsia="zh-CN"/>
        </w:rPr>
        <w:t>县级卫生健康行政部门应当</w:t>
      </w:r>
      <w:r>
        <w:rPr>
          <w:rFonts w:hint="eastAsia" w:ascii="仿宋_GB2312" w:hAnsi="仿宋_GB2312" w:eastAsia="仿宋_GB2312" w:cs="仿宋_GB2312"/>
          <w:strike w:val="0"/>
          <w:dstrike w:val="0"/>
          <w:color w:val="auto"/>
          <w:kern w:val="2"/>
          <w:sz w:val="32"/>
          <w:szCs w:val="32"/>
          <w:highlight w:val="none"/>
          <w:lang w:val="en-US" w:eastAsia="zh-CN" w:bidi="ar"/>
        </w:rPr>
        <w:t>每年对辖区内诊所开展至少一次现场监督检查，</w:t>
      </w:r>
      <w:r>
        <w:rPr>
          <w:rFonts w:hint="eastAsia" w:ascii="仿宋_GB2312" w:hAnsi="仿宋_GB2312" w:eastAsia="仿宋_GB2312" w:cs="仿宋_GB2312"/>
          <w:color w:val="auto"/>
          <w:sz w:val="32"/>
          <w:szCs w:val="32"/>
          <w:highlight w:val="none"/>
          <w:lang w:val="en-US" w:eastAsia="zh-CN"/>
        </w:rPr>
        <w:t>利用信息化监管平台</w:t>
      </w:r>
      <w:r>
        <w:rPr>
          <w:rFonts w:hint="eastAsia" w:ascii="仿宋_GB2312" w:hAnsi="仿宋_GB2312" w:eastAsia="仿宋_GB2312" w:cs="仿宋_GB2312"/>
          <w:strike w:val="0"/>
          <w:dstrike w:val="0"/>
          <w:color w:val="auto"/>
          <w:kern w:val="2"/>
          <w:sz w:val="32"/>
          <w:szCs w:val="32"/>
          <w:highlight w:val="none"/>
          <w:lang w:val="en-US" w:eastAsia="zh-CN" w:bidi="ar"/>
        </w:rPr>
        <w:t>进行日常监管和月度执业活动分析，至少每半年形成一份辖区内诊所执业活动监管分析报告。</w:t>
      </w:r>
      <w:r>
        <w:rPr>
          <w:rFonts w:hint="eastAsia" w:ascii="仿宋_GB2312" w:hAnsi="仿宋_GB2312" w:eastAsia="仿宋_GB2312" w:cs="仿宋_GB2312"/>
          <w:color w:val="auto"/>
          <w:sz w:val="32"/>
          <w:szCs w:val="32"/>
          <w:highlight w:val="none"/>
          <w:lang w:val="en-US" w:eastAsia="zh-CN"/>
        </w:rPr>
        <w:t>县级卫生健康行政部门</w:t>
      </w:r>
      <w:r>
        <w:rPr>
          <w:rFonts w:hint="eastAsia" w:ascii="仿宋_GB2312" w:hAnsi="仿宋_GB2312" w:eastAsia="仿宋_GB2312" w:cs="仿宋_GB2312"/>
          <w:strike w:val="0"/>
          <w:dstrike w:val="0"/>
          <w:color w:val="auto"/>
          <w:kern w:val="2"/>
          <w:sz w:val="32"/>
          <w:szCs w:val="32"/>
          <w:highlight w:val="none"/>
          <w:lang w:val="en-US" w:eastAsia="zh-CN" w:bidi="ar"/>
        </w:rPr>
        <w:t>有权要求诊所提供监管所需材料，诊所不得拒绝、隐匿或者隐瞒。</w:t>
      </w:r>
    </w:p>
    <w:p w14:paraId="5221A26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strike w:val="0"/>
          <w:dstrike w:val="0"/>
          <w:color w:val="auto"/>
          <w:kern w:val="0"/>
          <w:sz w:val="32"/>
          <w:szCs w:val="32"/>
          <w:lang w:val="en-US" w:eastAsia="zh-CN" w:bidi="ar"/>
        </w:rPr>
        <w:t>（</w:t>
      </w:r>
      <w:r>
        <w:rPr>
          <w:rFonts w:hint="eastAsia" w:ascii="楷体_GB2312" w:hAnsi="楷体_GB2312" w:eastAsia="楷体_GB2312" w:cs="楷体_GB2312"/>
          <w:i w:val="0"/>
          <w:iCs w:val="0"/>
          <w:caps w:val="0"/>
          <w:color w:val="auto"/>
          <w:spacing w:val="0"/>
          <w:sz w:val="32"/>
          <w:szCs w:val="32"/>
          <w:shd w:val="clear" w:color="auto" w:fill="FFFFFF"/>
          <w:lang w:val="en-US" w:eastAsia="zh-CN"/>
        </w:rPr>
        <w:t>四</w:t>
      </w:r>
      <w:r>
        <w:rPr>
          <w:rFonts w:hint="eastAsia" w:ascii="楷体_GB2312" w:hAnsi="楷体_GB2312" w:eastAsia="楷体_GB2312" w:cs="楷体_GB2312"/>
          <w:strike w:val="0"/>
          <w:dstrike w:val="0"/>
          <w:color w:val="auto"/>
          <w:kern w:val="0"/>
          <w:sz w:val="32"/>
          <w:szCs w:val="32"/>
          <w:lang w:val="en-US" w:eastAsia="zh-CN" w:bidi="ar"/>
        </w:rPr>
        <w:t>）业务培训。</w:t>
      </w:r>
      <w:r>
        <w:rPr>
          <w:rFonts w:hint="eastAsia" w:ascii="仿宋_GB2312" w:hAnsi="仿宋_GB2312" w:eastAsia="仿宋_GB2312" w:cs="仿宋_GB2312"/>
          <w:color w:val="auto"/>
          <w:sz w:val="32"/>
          <w:szCs w:val="32"/>
          <w:highlight w:val="none"/>
          <w:lang w:val="en-US" w:eastAsia="zh-CN"/>
        </w:rPr>
        <w:t>县级</w:t>
      </w:r>
      <w:r>
        <w:rPr>
          <w:rFonts w:hint="eastAsia" w:ascii="仿宋_GB2312" w:hAnsi="仿宋_GB2312" w:eastAsia="仿宋_GB2312" w:cs="仿宋_GB2312"/>
          <w:color w:val="auto"/>
          <w:sz w:val="32"/>
          <w:szCs w:val="32"/>
          <w:highlight w:val="none"/>
        </w:rPr>
        <w:t>卫生健康行政部门应</w:t>
      </w:r>
      <w:r>
        <w:rPr>
          <w:rFonts w:hint="eastAsia" w:ascii="仿宋_GB2312" w:hAnsi="仿宋_GB2312" w:eastAsia="仿宋_GB2312" w:cs="仿宋_GB2312"/>
          <w:color w:val="auto"/>
          <w:sz w:val="32"/>
          <w:szCs w:val="32"/>
          <w:highlight w:val="none"/>
          <w:lang w:val="en-US" w:eastAsia="zh-CN"/>
        </w:rPr>
        <w:t>当</w:t>
      </w:r>
      <w:r>
        <w:rPr>
          <w:rFonts w:hint="eastAsia" w:ascii="仿宋_GB2312" w:hAnsi="仿宋_GB2312" w:eastAsia="仿宋_GB2312" w:cs="仿宋_GB2312"/>
          <w:color w:val="auto"/>
          <w:sz w:val="32"/>
          <w:szCs w:val="32"/>
          <w:highlight w:val="none"/>
        </w:rPr>
        <w:t>定期组织诊所</w:t>
      </w:r>
      <w:r>
        <w:rPr>
          <w:rFonts w:hint="eastAsia" w:ascii="仿宋_GB2312" w:hAnsi="仿宋_GB2312" w:eastAsia="仿宋_GB2312" w:cs="仿宋_GB2312"/>
          <w:color w:val="auto"/>
          <w:sz w:val="32"/>
          <w:szCs w:val="32"/>
          <w:highlight w:val="none"/>
          <w:lang w:eastAsia="zh-CN"/>
        </w:rPr>
        <w:t>医务人员</w:t>
      </w:r>
      <w:r>
        <w:rPr>
          <w:rFonts w:hint="eastAsia" w:ascii="仿宋_GB2312" w:hAnsi="仿宋_GB2312" w:eastAsia="仿宋_GB2312" w:cs="仿宋_GB2312"/>
          <w:color w:val="auto"/>
          <w:sz w:val="32"/>
          <w:szCs w:val="32"/>
          <w:highlight w:val="none"/>
        </w:rPr>
        <w:t>参加依法执业、院感防控、医学人文等培训和学习，促进诊所依法执业，提高其专业技术水平。</w:t>
      </w:r>
    </w:p>
    <w:p w14:paraId="1863C1D8">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四、其他要求</w:t>
      </w:r>
    </w:p>
    <w:p w14:paraId="0C21ED3C">
      <w:pPr>
        <w:spacing w:line="560" w:lineRule="exact"/>
        <w:ind w:firstLine="960" w:firstLineChars="300"/>
        <w:rPr>
          <w:color w:val="auto"/>
        </w:rPr>
      </w:pPr>
      <w:r>
        <w:rPr>
          <w:rFonts w:hint="eastAsia" w:ascii="仿宋_GB2312" w:hAnsi="仿宋_GB2312" w:eastAsia="仿宋_GB2312" w:cs="仿宋_GB2312"/>
          <w:i w:val="0"/>
          <w:iCs w:val="0"/>
          <w:caps w:val="0"/>
          <w:color w:val="auto"/>
          <w:spacing w:val="0"/>
          <w:sz w:val="32"/>
          <w:szCs w:val="32"/>
          <w:highlight w:val="none"/>
          <w:shd w:val="clear" w:color="auto" w:fill="auto"/>
          <w:lang w:val="en-US" w:eastAsia="zh-CN"/>
        </w:rPr>
        <w:t>本通知</w:t>
      </w:r>
      <w:r>
        <w:rPr>
          <w:rFonts w:hint="eastAsia" w:ascii="仿宋_GB2312" w:hAnsi="仿宋_GB2312" w:eastAsia="仿宋_GB2312" w:cs="仿宋_GB2312"/>
          <w:i w:val="0"/>
          <w:iCs w:val="0"/>
          <w:caps w:val="0"/>
          <w:color w:val="auto"/>
          <w:spacing w:val="0"/>
          <w:sz w:val="32"/>
          <w:szCs w:val="32"/>
          <w:shd w:val="clear" w:color="auto" w:fill="FFFFFF"/>
          <w:lang w:val="en-US" w:eastAsia="zh-CN"/>
        </w:rPr>
        <w:t>自公布之日起施行。《河南省卫生厅 河南省中医管理局关于印发&lt;河南省城镇诊所管理暂行办法&gt;的通知</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lang w:val="en-US" w:eastAsia="zh-CN"/>
        </w:rPr>
        <w:t>豫卫医〔2002〕70号</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lang w:val="en-US" w:eastAsia="zh-CN"/>
        </w:rPr>
        <w:t>同步废止。</w:t>
      </w:r>
    </w:p>
    <w:p w14:paraId="10BDB79C">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4800" w:firstLineChars="1500"/>
        <w:jc w:val="both"/>
        <w:textAlignment w:val="auto"/>
        <w:rPr>
          <w:rFonts w:hint="eastAsia" w:ascii="仿宋_GB2312" w:hAnsi="仿宋_GB2312" w:eastAsia="仿宋_GB2312" w:cs="仿宋_GB2312"/>
          <w:sz w:val="32"/>
          <w:szCs w:val="32"/>
          <w:lang w:val="en-US" w:eastAsia="zh-CN"/>
        </w:rPr>
      </w:pPr>
    </w:p>
    <w:p w14:paraId="76BECED3">
      <w:pPr>
        <w:keepNext w:val="0"/>
        <w:keepLines w:val="0"/>
        <w:pageBreakBefore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bCs/>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924BA1"/>
    <w:rsid w:val="550F6993"/>
    <w:rsid w:val="611750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beforeAutospacing="0" w:after="60" w:afterLines="0" w:afterAutospacing="0"/>
      <w:jc w:val="center"/>
      <w:outlineLvl w:val="0"/>
    </w:pPr>
    <w:rPr>
      <w:rFonts w:ascii="DejaVu Sans" w:hAnsi="DejaVu Sans"/>
      <w:b/>
      <w:sz w:val="32"/>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kern w:val="0"/>
      <w:sz w:val="24"/>
      <w:lang w:val="en-US" w:eastAsia="zh-CN" w:bidi="ar"/>
    </w:rPr>
  </w:style>
  <w:style w:type="character" w:styleId="6">
    <w:name w:val="FollowedHyperlink"/>
    <w:basedOn w:val="5"/>
    <w:qFormat/>
    <w:uiPriority w:val="0"/>
    <w:rPr>
      <w:rFonts w:hint="eastAsia" w:ascii="微软雅黑" w:hAnsi="微软雅黑" w:eastAsia="微软雅黑" w:cs="微软雅黑"/>
      <w:color w:val="555555"/>
      <w:u w:val="none"/>
    </w:rPr>
  </w:style>
  <w:style w:type="character" w:styleId="7">
    <w:name w:val="Hyperlink"/>
    <w:basedOn w:val="5"/>
    <w:qFormat/>
    <w:uiPriority w:val="0"/>
    <w:rPr>
      <w:rFonts w:hint="eastAsia" w:ascii="微软雅黑" w:hAnsi="微软雅黑" w:eastAsia="微软雅黑" w:cs="微软雅黑"/>
      <w:color w:val="555555"/>
      <w:u w:val="none"/>
    </w:rPr>
  </w:style>
  <w:style w:type="character" w:customStyle="1" w:styleId="8">
    <w:name w:val="sp2"/>
    <w:basedOn w:val="5"/>
    <w:qFormat/>
    <w:uiPriority w:val="0"/>
    <w:rPr>
      <w:sz w:val="30"/>
      <w:szCs w:val="30"/>
      <w:shd w:val="clear" w:fill="D3DFEF"/>
    </w:rPr>
  </w:style>
  <w:style w:type="character" w:customStyle="1" w:styleId="9">
    <w:name w:val="sp3"/>
    <w:basedOn w:val="5"/>
    <w:uiPriority w:val="0"/>
    <w:rPr>
      <w:vanish/>
    </w:rPr>
  </w:style>
  <w:style w:type="character" w:customStyle="1" w:styleId="10">
    <w:name w:val="a_p_1"/>
    <w:basedOn w:val="5"/>
    <w:qFormat/>
    <w:uiPriority w:val="0"/>
    <w:rPr>
      <w:sz w:val="27"/>
      <w:szCs w:val="27"/>
    </w:rPr>
  </w:style>
  <w:style w:type="character" w:customStyle="1" w:styleId="11">
    <w:name w:val="exap"/>
    <w:basedOn w:val="5"/>
    <w:qFormat/>
    <w:uiPriority w:val="0"/>
    <w:rPr>
      <w:sz w:val="27"/>
      <w:szCs w:val="27"/>
    </w:rPr>
  </w:style>
  <w:style w:type="character" w:customStyle="1" w:styleId="12">
    <w:name w:val="ul_li_a_1"/>
    <w:basedOn w:val="5"/>
    <w:qFormat/>
    <w:uiPriority w:val="0"/>
    <w:rPr>
      <w:b/>
      <w:bCs/>
      <w:color w:val="FFFFFF"/>
    </w:rPr>
  </w:style>
  <w:style w:type="character" w:customStyle="1" w:styleId="13">
    <w:name w:val="sp1"/>
    <w:basedOn w:val="5"/>
    <w:qFormat/>
    <w:uiPriority w:val="0"/>
    <w:rPr>
      <w:b/>
      <w:bCs/>
      <w:color w:val="FFFFFF"/>
      <w:shd w:val="clear" w:fill="4F81BC"/>
    </w:rPr>
  </w:style>
  <w:style w:type="character" w:customStyle="1" w:styleId="14">
    <w:name w:val="a_p_2"/>
    <w:basedOn w:val="5"/>
    <w:qFormat/>
    <w:uiPriority w:val="0"/>
  </w:style>
  <w:style w:type="character" w:customStyle="1" w:styleId="15">
    <w:name w:val="a_p_21"/>
    <w:basedOn w:val="5"/>
    <w:qFormat/>
    <w:uiPriority w:val="0"/>
    <w:rPr>
      <w:sz w:val="27"/>
      <w:szCs w:val="27"/>
    </w:rPr>
  </w:style>
  <w:style w:type="character" w:customStyle="1" w:styleId="16">
    <w:name w:val="a_p_3"/>
    <w:basedOn w:val="5"/>
    <w:qFormat/>
    <w:uiPriority w:val="0"/>
    <w:rPr>
      <w:sz w:val="27"/>
      <w:szCs w:val="27"/>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2142</Words>
  <Characters>2203</Characters>
  <Lines>0</Lines>
  <Paragraphs>0</Paragraphs>
  <TotalTime>2</TotalTime>
  <ScaleCrop>false</ScaleCrop>
  <LinksUpToDate>false</LinksUpToDate>
  <CharactersWithSpaces>2207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2025-12-18T10:34:00Z</dcterms:created>
  <dc:creator>Administrator</dc:creator>
  <cp:lastModifiedBy>王朝阳</cp:lastModifiedBy>
  <dcterms:modified xsi:type="dcterms:W3CDTF">2025-12-19T10:49:09Z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eyJoZGlkIjoiYmY2YWY5ZGMxY2RjNDExNzcwMTc2YmExN2E4MjY2N2IiLCJ1c2VySWQiOiIyMzIwMDM1ODYifQ==</vt:lpwstr>
  </property>
  <property fmtid="{D5CDD505-2E9C-101B-9397-08002B2CF9AE}" pid="4" name="ICV">
    <vt:lpwstr>6DE3286A32F34C7281A23691B9F17F3A_12</vt:lpwstr>
  </property>
</Properties>
</file>