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autoSpaceDE/>
        <w:autoSpaceDN/>
        <w:bidi w:val="0"/>
        <w:spacing w:line="580" w:lineRule="exact"/>
        <w:jc w:val="left"/>
        <w:rPr>
          <w:rFonts w:hint="default" w:ascii="Times New Roman" w:hAnsi="Times New Roman" w:eastAsia="仿宋_GB2312" w:cs="Times New Roman"/>
          <w:sz w:val="32"/>
          <w:szCs w:val="32"/>
        </w:rPr>
      </w:pPr>
      <w:bookmarkStart w:id="9" w:name="_GoBack"/>
      <w:bookmarkEnd w:id="9"/>
      <w:r>
        <w:rPr>
          <w:rFonts w:hint="default" w:ascii="Times New Roman" w:hAnsi="Times New Roman" w:eastAsia="黑体" w:cs="Times New Roman"/>
          <w:sz w:val="32"/>
          <w:szCs w:val="32"/>
        </w:rPr>
        <w:t>附</w:t>
      </w:r>
      <w:r>
        <w:rPr>
          <w:rFonts w:hint="eastAsia"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件</w:t>
      </w:r>
    </w:p>
    <w:p>
      <w:pPr>
        <w:keepNext w:val="0"/>
        <w:keepLines w:val="0"/>
        <w:pageBreakBefore w:val="0"/>
        <w:widowControl w:val="0"/>
        <w:kinsoku/>
        <w:wordWrap/>
        <w:overflowPunct/>
        <w:topLinePunct/>
        <w:autoSpaceDE/>
        <w:autoSpaceDN/>
        <w:bidi w:val="0"/>
        <w:spacing w:line="580" w:lineRule="exact"/>
        <w:jc w:val="center"/>
        <w:rPr>
          <w:rFonts w:hint="default" w:ascii="Times New Roman" w:hAnsi="Times New Roman" w:eastAsia="方正公文小标宋" w:cs="Times New Roman"/>
          <w:bCs/>
          <w:sz w:val="44"/>
          <w:szCs w:val="44"/>
        </w:rPr>
      </w:pPr>
    </w:p>
    <w:p>
      <w:pPr>
        <w:keepNext w:val="0"/>
        <w:keepLines w:val="0"/>
        <w:pageBreakBefore w:val="0"/>
        <w:widowControl w:val="0"/>
        <w:kinsoku/>
        <w:wordWrap/>
        <w:overflowPunct/>
        <w:topLinePunct/>
        <w:autoSpaceDE/>
        <w:autoSpaceDN/>
        <w:bidi w:val="0"/>
        <w:spacing w:line="58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_GBK" w:cs="Times New Roman"/>
          <w:bCs/>
          <w:sz w:val="44"/>
          <w:szCs w:val="44"/>
        </w:rPr>
        <w:t>河南省科技企业创新积分制工作实施方案</w:t>
      </w:r>
    </w:p>
    <w:p>
      <w:pPr>
        <w:keepNext w:val="0"/>
        <w:keepLines w:val="0"/>
        <w:pageBreakBefore w:val="0"/>
        <w:widowControl w:val="0"/>
        <w:kinsoku/>
        <w:wordWrap/>
        <w:overflowPunct/>
        <w:topLinePunct/>
        <w:autoSpaceDE/>
        <w:autoSpaceDN/>
        <w:bidi w:val="0"/>
        <w:adjustRightInd w:val="0"/>
        <w:spacing w:line="580" w:lineRule="exact"/>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（试行）</w:t>
      </w:r>
    </w:p>
    <w:p>
      <w:pPr>
        <w:keepNext w:val="0"/>
        <w:keepLines w:val="0"/>
        <w:pageBreakBefore w:val="0"/>
        <w:widowControl w:val="0"/>
        <w:kinsoku/>
        <w:wordWrap/>
        <w:overflowPunct/>
        <w:topLinePunct/>
        <w:autoSpaceDE/>
        <w:autoSpaceDN/>
        <w:bidi w:val="0"/>
        <w:adjustRightInd w:val="0"/>
        <w:spacing w:line="580" w:lineRule="exact"/>
        <w:ind w:firstLine="640" w:firstLineChars="200"/>
        <w:jc w:val="lef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为贯彻省委省政府决策部署，进一步强化企业科技创新主体地位，推动科技、产业与金融深度融合与协同发展，依据科技部《“创新积分制”工作指引（2.0版）（全国试行版）》，结合河南省科技创新与产业发展实际，构建“豫科积分”科技企业创新发展评价模型，推进实施企业创新积分制工作，特制定本方案。</w:t>
      </w: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一、总体目标</w:t>
      </w:r>
    </w:p>
    <w:p>
      <w:pPr>
        <w:pStyle w:val="2"/>
        <w:keepNext w:val="0"/>
        <w:keepLines w:val="0"/>
        <w:pageBreakBefore w:val="0"/>
        <w:widowControl w:val="0"/>
        <w:kinsoku/>
        <w:wordWrap/>
        <w:overflowPunct/>
        <w:topLinePunct/>
        <w:autoSpaceDE/>
        <w:autoSpaceDN/>
        <w:bidi w:val="0"/>
        <w:snapToGrid/>
        <w:spacing w:after="0" w:line="58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促进“科技－产业－金融”良性循环，加快实现高水平科技自立自强和科技强省为目标，构建“豫科积分”评价指标体系，建成“豫科积分”信息服务系统，打造覆盖企业全生命周期的“积分－资源－服务”联动机制。通过对企业创新能力开展量化评价并精准“画像”，打通科技、产业、金融连接通道，推动资源精准配置、政策精准施策，助力发展新质生产力，打造中部地区科技金融改革创新高地。</w:t>
      </w: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default" w:ascii="黑体" w:hAnsi="黑体" w:eastAsia="黑体" w:cs="黑体"/>
          <w:b w:val="0"/>
          <w:bCs w:val="0"/>
          <w:sz w:val="32"/>
          <w:szCs w:val="32"/>
        </w:rPr>
      </w:pPr>
      <w:r>
        <w:rPr>
          <w:rFonts w:hint="default" w:ascii="黑体" w:hAnsi="黑体" w:eastAsia="黑体" w:cs="黑体"/>
          <w:b w:val="0"/>
          <w:bCs w:val="0"/>
          <w:sz w:val="32"/>
          <w:szCs w:val="32"/>
        </w:rPr>
        <w:t>二、主要任务</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（一）“豫科积分”评价指标体系构建</w:t>
      </w: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科技部“创新积分制2.0”指标体系为基础，遵循价值发现性、可获取性、可比较性、可量化性和可解释性的指标构建原则，结合我省企业科技创新情况，构建重点描画河南特色产业、突出技术创新能力，服务河南新发展格局的“豫科积分”评价指标体系。核心指标体系包含五类一级指标17个二级指标，在指标权重设置上，突出区域创新导向，突出对企业创新投入及产出、创新活动对企业发展影响的评价，注重对企业经营管理能力的考察。将企业划分为初创期、成长期、稳定期三个阶段，根据各个成长阶段企业发展侧重点设置不同的指标计算权重，形成差异化评价模式。</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创新投入指标。</w:t>
      </w:r>
      <w:r>
        <w:rPr>
          <w:rFonts w:hint="default" w:ascii="Times New Roman" w:hAnsi="Times New Roman" w:eastAsia="仿宋_GB2312" w:cs="Times New Roman"/>
          <w:sz w:val="32"/>
          <w:szCs w:val="32"/>
        </w:rPr>
        <w:t>该类指标主要围绕研发强度、创新团队等维度，评估技术投入强度及研发能力。具体包括：研发费用金额、研发费用占营业收入的比例、研发人员占比、高层次人才数量等。</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创新产出指标。</w:t>
      </w:r>
      <w:r>
        <w:rPr>
          <w:rFonts w:hint="default" w:ascii="Times New Roman" w:hAnsi="Times New Roman" w:eastAsia="仿宋_GB2312" w:cs="Times New Roman"/>
          <w:sz w:val="32"/>
          <w:szCs w:val="32"/>
        </w:rPr>
        <w:t>该类指标主要围绕企业知识产权、对外研发合作等维度，综合评估创新产出效能。具体包括：发明专利授权量、每百人研发人员的知识产权数量、企业技术合同成交额等。</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创新发展指标。</w:t>
      </w:r>
      <w:r>
        <w:rPr>
          <w:rFonts w:hint="default" w:ascii="Times New Roman" w:hAnsi="Times New Roman" w:eastAsia="仿宋_GB2312" w:cs="Times New Roman"/>
          <w:sz w:val="32"/>
          <w:szCs w:val="32"/>
        </w:rPr>
        <w:t>该类指标主要围绕经营能力、增长动能、盈利水平、社会责任等维度，综合评估企业经济贡献、发展质量。具体包括：主营业务收入、营业收入增长率、净资产利润率、人均创收额、纳税总额占营业收入的比重、营业利润率等。</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创新影响指标。</w:t>
      </w:r>
      <w:r>
        <w:rPr>
          <w:rFonts w:hint="default" w:ascii="Times New Roman" w:hAnsi="Times New Roman" w:eastAsia="仿宋_GB2312" w:cs="Times New Roman"/>
          <w:sz w:val="32"/>
          <w:szCs w:val="32"/>
        </w:rPr>
        <w:t>该类指标主要对企业创新能力进行补充评价。具体包括：承担地市级、省级及以上科技计划项目数量、科技奖励数量、参与制定国家或行业标准数量、获得天使投资、风险投资、贷款等融资金额、企业或主导产品行业排名情况、企业取得科技相关资质情况等。</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约束指标。</w:t>
      </w:r>
      <w:r>
        <w:rPr>
          <w:rFonts w:hint="default" w:ascii="Times New Roman" w:hAnsi="Times New Roman" w:eastAsia="仿宋_GB2312" w:cs="Times New Roman"/>
          <w:sz w:val="32"/>
          <w:szCs w:val="32"/>
        </w:rPr>
        <w:t>该类指标主要衡量企业的经营安全与诚信情况。具体包括：被纳入失信被执行人情况。</w:t>
      </w:r>
    </w:p>
    <w:p>
      <w:pPr>
        <w:pStyle w:val="3"/>
        <w:keepNext w:val="0"/>
        <w:keepLines w:val="0"/>
        <w:pageBreakBefore w:val="0"/>
        <w:widowControl w:val="0"/>
        <w:kinsoku/>
        <w:wordWrap/>
        <w:overflowPunct/>
        <w:topLinePunct/>
        <w:autoSpaceDE/>
        <w:autoSpaceDN/>
        <w:bidi w:val="0"/>
        <w:snapToGrid/>
        <w:spacing w:line="580" w:lineRule="exact"/>
        <w:ind w:left="0" w:firstLine="666"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（二）“豫科积分”信息服务系统开发</w:t>
      </w: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sz w:val="32"/>
          <w:szCs w:val="32"/>
        </w:rPr>
        <w:t>围绕“豫科积分”评价指标体系，借助大数据和人工智能等技术，建设“豫科积分”信息服务系统。“豫科积分”信息服务系统建成后，金融服务应用部分纳入省融资信用服务平台。</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功能模块。</w:t>
      </w:r>
      <w:r>
        <w:rPr>
          <w:rFonts w:hint="default" w:ascii="Times New Roman" w:hAnsi="Times New Roman" w:eastAsia="仿宋_GB2312" w:cs="Times New Roman"/>
          <w:sz w:val="32"/>
          <w:szCs w:val="32"/>
        </w:rPr>
        <w:t>信息服务系统集合数据管理、指标管理、金融管理等功能模块，开展科技企业创新积分数据汇集分析，实现“一键积分生成、线下核验校正、智能生成报告、政策精准推送”的功能。</w:t>
      </w:r>
    </w:p>
    <w:p>
      <w:pPr>
        <w:keepNext w:val="0"/>
        <w:keepLines w:val="0"/>
        <w:pageBreakBefore w:val="0"/>
        <w:widowControl w:val="0"/>
        <w:kinsoku/>
        <w:wordWrap/>
        <w:overflowPunct/>
        <w:topLinePunct/>
        <w:autoSpaceDE/>
        <w:autoSpaceDN/>
        <w:bidi w:val="0"/>
        <w:adjustRightInd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端口服务。</w:t>
      </w:r>
      <w:r>
        <w:rPr>
          <w:rFonts w:hint="default" w:ascii="Times New Roman" w:hAnsi="Times New Roman" w:eastAsia="仿宋_GB2312" w:cs="Times New Roman"/>
          <w:sz w:val="32"/>
          <w:szCs w:val="32"/>
        </w:rPr>
        <w:t>设置政府端、企业端和金融端不同终端的使用权限，便于三方根据自身需求灵活参考和运用创新积分，最大化创新积分工具效能，促进企业创新能力评价的数字化、政策服务的一体化以及金融支持的精准化。</w:t>
      </w:r>
    </w:p>
    <w:p>
      <w:pPr>
        <w:pStyle w:val="3"/>
        <w:keepNext w:val="0"/>
        <w:keepLines w:val="0"/>
        <w:pageBreakBefore w:val="0"/>
        <w:widowControl w:val="0"/>
        <w:kinsoku/>
        <w:wordWrap/>
        <w:overflowPunct/>
        <w:topLinePunct/>
        <w:autoSpaceDE/>
        <w:autoSpaceDN/>
        <w:bidi w:val="0"/>
        <w:snapToGrid/>
        <w:spacing w:line="580" w:lineRule="exact"/>
        <w:ind w:left="0" w:firstLine="666"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（三）“豫科积分”数据汇集分析</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汇集数据。</w:t>
      </w:r>
      <w:r>
        <w:rPr>
          <w:rFonts w:hint="default" w:ascii="Times New Roman" w:hAnsi="Times New Roman" w:eastAsia="仿宋_GB2312" w:cs="Times New Roman"/>
          <w:sz w:val="32"/>
          <w:szCs w:val="32"/>
        </w:rPr>
        <w:t>由省科技厅牵头，以各类科技企业数据资源为基础，企业自主填报数据为补充，相互校验、精准评价，确保数据的完整性、准确性和时效性。</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线下核验。</w:t>
      </w:r>
      <w:r>
        <w:rPr>
          <w:rFonts w:hint="default" w:ascii="Times New Roman" w:hAnsi="Times New Roman" w:eastAsia="仿宋_GB2312" w:cs="Times New Roman"/>
          <w:sz w:val="32"/>
          <w:szCs w:val="32"/>
        </w:rPr>
        <w:t>建立线下创新积分核验工作机制，聚焦异常数据监测、极端数值分析及终端用户验证需求，开展线下核验工作，严格实施数据比对与实地验证。构建线上线下协同校验机制，完善“监测预警-定向核验-反馈优化”闭环管理体系，切实保障积分评价工作的客观性、准确性及全流程科学规范。</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w:t>
      </w:r>
      <w:r>
        <w:rPr>
          <w:rFonts w:hint="eastAsia"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bCs/>
          <w:sz w:val="32"/>
          <w:szCs w:val="32"/>
        </w:rPr>
        <w:t>数据分析。</w:t>
      </w:r>
      <w:r>
        <w:rPr>
          <w:rFonts w:hint="default" w:ascii="Times New Roman" w:hAnsi="Times New Roman" w:eastAsia="仿宋_GB2312" w:cs="Times New Roman"/>
          <w:sz w:val="32"/>
          <w:szCs w:val="32"/>
        </w:rPr>
        <w:t>依据“豫科积分”评价指标体系、指标权重及积分计算方法，开展科技企业创新积分评价工作。遵循“一企一档”原则，对科技企业创新能力进行分层分级量化评估，形成多维度科技企业创新画像。实现对企业创新能力与发展质量的科学精准评价，助力科技企业创新积分制相关单位提升服务精准性。</w:t>
      </w: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default" w:ascii="黑体" w:hAnsi="黑体" w:eastAsia="黑体" w:cs="黑体"/>
          <w:b w:val="0"/>
          <w:bCs w:val="0"/>
          <w:sz w:val="32"/>
          <w:szCs w:val="32"/>
        </w:rPr>
      </w:pPr>
      <w:r>
        <w:rPr>
          <w:rFonts w:hint="default" w:ascii="黑体" w:hAnsi="黑体" w:eastAsia="黑体" w:cs="黑体"/>
          <w:b w:val="0"/>
          <w:bCs w:val="0"/>
          <w:sz w:val="32"/>
          <w:szCs w:val="32"/>
        </w:rPr>
        <w:t>三、积分应用</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rPr>
        <w:t>（一）基础应用。</w:t>
      </w:r>
      <w:r>
        <w:rPr>
          <w:rFonts w:hint="default" w:ascii="Times New Roman" w:hAnsi="Times New Roman" w:eastAsia="仿宋_GB2312" w:cs="Times New Roman"/>
          <w:sz w:val="32"/>
          <w:szCs w:val="32"/>
        </w:rPr>
        <w:t>全面推行积分评价，各使用终端可登录““豫科积分”信息服务系统”实时查询积分结果。建立梯度培育机制，依托积分结果，挖掘发现一批优质科创企业，构建分层分级培育库；</w:t>
      </w:r>
      <w:r>
        <w:rPr>
          <w:rFonts w:hint="default" w:ascii="Times New Roman" w:hAnsi="Times New Roman" w:eastAsia="仿宋_GB2312" w:cs="Times New Roman"/>
          <w:sz w:val="32"/>
          <w:szCs w:val="32"/>
          <w:lang w:eastAsia="zh-CN"/>
        </w:rPr>
        <w:t>可按企业创新能力等级公布优秀企业名单</w:t>
      </w:r>
      <w:r>
        <w:rPr>
          <w:rFonts w:hint="default" w:ascii="Times New Roman" w:hAnsi="Times New Roman" w:eastAsia="仿宋_GB2312" w:cs="Times New Roman"/>
          <w:sz w:val="32"/>
          <w:szCs w:val="32"/>
        </w:rPr>
        <w:t>。推动重点产业链企业与高科技企业开展供应链合作，促进创新资源高效配置。</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default" w:ascii="Times New Roman" w:hAnsi="Times New Roman" w:eastAsia="仿宋_GB2312" w:cs="Times New Roman"/>
          <w:sz w:val="32"/>
          <w:szCs w:val="32"/>
          <w:lang w:bidi="ar"/>
        </w:rPr>
      </w:pPr>
      <w:r>
        <w:rPr>
          <w:rFonts w:hint="eastAsia" w:ascii="楷体_GB2312" w:hAnsi="楷体_GB2312" w:eastAsia="楷体_GB2312" w:cs="楷体_GB2312"/>
          <w:b/>
          <w:bCs/>
          <w:sz w:val="32"/>
          <w:szCs w:val="32"/>
        </w:rPr>
        <w:t>（二）金融服务。</w:t>
      </w:r>
      <w:r>
        <w:rPr>
          <w:rFonts w:hint="default" w:ascii="Times New Roman" w:hAnsi="Times New Roman" w:eastAsia="仿宋_GB2312" w:cs="Times New Roman"/>
          <w:sz w:val="32"/>
          <w:szCs w:val="32"/>
          <w:lang w:bidi="ar"/>
        </w:rPr>
        <w:t>通过量化科技企业创新能力，将技术、专利等“软实力”转化为金融机构可识别的信用数据，缓解科技企业“轻资产、缺抵押”的融资难题，推动金融机构从“看过去”的传统风控转向“看未来”的创新评价，引导金融机构开发基于创新积分制的金融产品。</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鼓励银行业金融机构开发“积分贷”产品，将积分结果纳入授信参考，推动“积分增信、积分降息”，缓解中小科技企业轻资产、无抵押、贷款难问题。</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鼓励投资机构探索“积分投”模式，推动创业投资基金投早、投小、投硬科技，引导省级产业基金和社会资本参考创新积分精准投资优质科技企业，优先支持优质科技企业对接多层次资本市场。</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鼓励保险机构开发“积分险”产品，提供专利保险、首台（套）重大技术装备保险等综合保障方案，重点支持科技企业研发、成果转化等环节风险保障，建立多方风险共担机制。</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default" w:ascii="Times New Roman" w:hAnsi="Times New Roman" w:eastAsia="仿宋_GB2312" w:cs="Times New Roman"/>
          <w:sz w:val="32"/>
          <w:szCs w:val="32"/>
          <w:lang w:bidi="ar"/>
        </w:rPr>
      </w:pPr>
      <w:r>
        <w:rPr>
          <w:rFonts w:hint="eastAsia" w:ascii="楷体_GB2312" w:hAnsi="楷体_GB2312" w:eastAsia="楷体_GB2312" w:cs="楷体_GB2312"/>
          <w:b/>
          <w:bCs/>
          <w:sz w:val="32"/>
          <w:szCs w:val="32"/>
        </w:rPr>
        <w:t>（三）其他增值服务。</w:t>
      </w:r>
      <w:r>
        <w:rPr>
          <w:rFonts w:hint="default" w:ascii="Times New Roman" w:hAnsi="Times New Roman" w:eastAsia="仿宋_GB2312" w:cs="Times New Roman"/>
          <w:sz w:val="32"/>
          <w:szCs w:val="32"/>
          <w:lang w:bidi="ar"/>
        </w:rPr>
        <w:t>依托</w:t>
      </w:r>
      <w:r>
        <w:rPr>
          <w:rFonts w:hint="default" w:ascii="Times New Roman" w:hAnsi="Times New Roman" w:eastAsia="仿宋_GB2312" w:cs="Times New Roman"/>
          <w:sz w:val="32"/>
          <w:szCs w:val="32"/>
        </w:rPr>
        <w:t>“豫科积分”</w:t>
      </w:r>
      <w:r>
        <w:rPr>
          <w:rFonts w:hint="default" w:ascii="Times New Roman" w:hAnsi="Times New Roman" w:eastAsia="仿宋_GB2312" w:cs="Times New Roman"/>
          <w:sz w:val="32"/>
          <w:szCs w:val="32"/>
          <w:lang w:bidi="ar"/>
        </w:rPr>
        <w:t>信息服务系统，集成整合现有科技、人才、金融、产业等各类涉企惠企政策，与科技企业需求进行精准匹配，实现政策精准推送；各终端部门可在涉企政策中灵活运用科技企业创新积分评价结果，对优质科技企业在项目申报、平台建设、人才引育、技术创新等方面给予政策支持，纳入各类优先支持范围。</w:t>
      </w:r>
    </w:p>
    <w:p>
      <w:pPr>
        <w:keepNext w:val="0"/>
        <w:keepLines w:val="0"/>
        <w:pageBreakBefore w:val="0"/>
        <w:widowControl w:val="0"/>
        <w:kinsoku/>
        <w:wordWrap/>
        <w:overflowPunct/>
        <w:topLinePunct/>
        <w:autoSpaceDE/>
        <w:autoSpaceDN/>
        <w:bidi w:val="0"/>
        <w:adjustRightInd w:val="0"/>
        <w:snapToGrid/>
        <w:spacing w:line="580" w:lineRule="exact"/>
        <w:ind w:firstLine="640" w:firstLineChars="200"/>
        <w:jc w:val="both"/>
        <w:textAlignment w:val="auto"/>
        <w:rPr>
          <w:rFonts w:hint="default" w:ascii="黑体" w:hAnsi="黑体" w:eastAsia="黑体" w:cs="黑体"/>
          <w:b w:val="0"/>
          <w:bCs w:val="0"/>
          <w:sz w:val="32"/>
          <w:szCs w:val="32"/>
        </w:rPr>
      </w:pPr>
      <w:r>
        <w:rPr>
          <w:rFonts w:hint="default" w:ascii="黑体" w:hAnsi="黑体" w:eastAsia="黑体" w:cs="黑体"/>
          <w:b w:val="0"/>
          <w:bCs w:val="0"/>
          <w:sz w:val="32"/>
          <w:szCs w:val="32"/>
        </w:rPr>
        <w:t>四、保障措施</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eastAsia" w:ascii="楷体_GB2312" w:hAnsi="楷体_GB2312" w:eastAsia="楷体_GB2312" w:cs="楷体_GB2312"/>
          <w:b/>
          <w:bCs/>
          <w:sz w:val="32"/>
          <w:szCs w:val="32"/>
          <w:lang w:bidi="ar"/>
        </w:rPr>
      </w:pPr>
      <w:r>
        <w:rPr>
          <w:rFonts w:hint="eastAsia" w:ascii="楷体_GB2312" w:hAnsi="楷体_GB2312" w:eastAsia="楷体_GB2312" w:cs="楷体_GB2312"/>
          <w:b/>
          <w:bCs/>
          <w:sz w:val="32"/>
          <w:szCs w:val="32"/>
          <w:lang w:bidi="ar"/>
        </w:rPr>
        <w:t>（一）建立协同联动机制</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建立</w:t>
      </w:r>
      <w:r>
        <w:rPr>
          <w:rFonts w:hint="default" w:ascii="Times New Roman" w:hAnsi="Times New Roman" w:eastAsia="仿宋_GB2312" w:cs="Times New Roman"/>
          <w:sz w:val="32"/>
          <w:szCs w:val="32"/>
        </w:rPr>
        <w:t>“豫科积分”</w:t>
      </w:r>
      <w:r>
        <w:rPr>
          <w:rFonts w:hint="default" w:ascii="Times New Roman" w:hAnsi="Times New Roman" w:eastAsia="仿宋_GB2312" w:cs="Times New Roman"/>
          <w:sz w:val="32"/>
          <w:szCs w:val="32"/>
          <w:lang w:bidi="ar"/>
        </w:rPr>
        <w:t>制工作协同联动机制，由省科技厅牵头，联合省委金融办、人民银行河南省分行、河南金融监管局、河南证监局、省财政厅、省税务局、省教育厅、省发改委、省工信厅等部门共同参与，加强数据共享共用，推进各类资源要素优化配置，中央驻豫单位按照上级主管部门相关文件规定开展数据共享工作。委托河南省科技创新促进中心负责科技企业创新积分制工作的日常管理工作。各地市成立由科技管理部门主导的工作协同联动机制，形成省、市、县（区）三级协同推进机制，确保实施与应用。</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eastAsia" w:ascii="楷体_GB2312" w:hAnsi="楷体_GB2312" w:eastAsia="楷体_GB2312" w:cs="楷体_GB2312"/>
          <w:sz w:val="32"/>
          <w:szCs w:val="32"/>
          <w:lang w:bidi="ar"/>
        </w:rPr>
      </w:pPr>
      <w:r>
        <w:rPr>
          <w:rFonts w:hint="eastAsia" w:ascii="楷体_GB2312" w:hAnsi="楷体_GB2312" w:eastAsia="楷体_GB2312" w:cs="楷体_GB2312"/>
          <w:b/>
          <w:bCs/>
          <w:sz w:val="32"/>
          <w:szCs w:val="32"/>
          <w:lang w:bidi="ar"/>
        </w:rPr>
        <w:t>（二）建立激励容错机制</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省科技厅联合</w:t>
      </w:r>
      <w:r>
        <w:rPr>
          <w:rFonts w:hint="default" w:ascii="Times New Roman" w:hAnsi="Times New Roman" w:eastAsia="仿宋_GB2312" w:cs="Times New Roman"/>
          <w:sz w:val="32"/>
          <w:szCs w:val="32"/>
        </w:rPr>
        <w:t>省财政厅、省委金融办、人民银行河南省分行、</w:t>
      </w:r>
      <w:r>
        <w:rPr>
          <w:rFonts w:hint="default" w:ascii="Times New Roman" w:hAnsi="Times New Roman" w:eastAsia="仿宋_GB2312" w:cs="Times New Roman"/>
          <w:sz w:val="32"/>
          <w:szCs w:val="32"/>
          <w:lang w:val="en"/>
        </w:rPr>
        <w:t>河南金融监管局</w:t>
      </w:r>
      <w:r>
        <w:rPr>
          <w:rFonts w:hint="default" w:ascii="Times New Roman" w:hAnsi="Times New Roman" w:eastAsia="仿宋_GB2312" w:cs="Times New Roman"/>
          <w:sz w:val="32"/>
          <w:szCs w:val="32"/>
          <w:lang w:bidi="ar"/>
        </w:rPr>
        <w:t>等部门建立</w:t>
      </w:r>
      <w:r>
        <w:rPr>
          <w:rFonts w:hint="default" w:ascii="Times New Roman" w:hAnsi="Times New Roman" w:eastAsia="仿宋_GB2312" w:cs="Times New Roman"/>
          <w:sz w:val="32"/>
          <w:szCs w:val="32"/>
        </w:rPr>
        <w:t>“豫科积分”</w:t>
      </w:r>
      <w:r>
        <w:rPr>
          <w:rFonts w:hint="default" w:ascii="Times New Roman" w:hAnsi="Times New Roman" w:eastAsia="仿宋_GB2312" w:cs="Times New Roman"/>
          <w:sz w:val="32"/>
          <w:szCs w:val="32"/>
          <w:lang w:bidi="ar"/>
        </w:rPr>
        <w:t>应用激励容错机制，定期对科技信贷进行考核评估，考评结果作为相关政策支持的重要依据。对推广</w:t>
      </w:r>
      <w:r>
        <w:rPr>
          <w:rFonts w:hint="default" w:ascii="Times New Roman" w:hAnsi="Times New Roman" w:eastAsia="仿宋_GB2312" w:cs="Times New Roman"/>
          <w:sz w:val="32"/>
          <w:szCs w:val="32"/>
        </w:rPr>
        <w:t>“豫科积分”</w:t>
      </w:r>
      <w:r>
        <w:rPr>
          <w:rFonts w:hint="default" w:ascii="Times New Roman" w:hAnsi="Times New Roman" w:eastAsia="仿宋_GB2312" w:cs="Times New Roman"/>
          <w:sz w:val="32"/>
          <w:szCs w:val="32"/>
          <w:lang w:bidi="ar"/>
        </w:rPr>
        <w:t>的金融机构，因市场原因或其他客观因素导致损失的，经评估后，</w:t>
      </w:r>
      <w:r>
        <w:rPr>
          <w:rFonts w:hint="default" w:ascii="Times New Roman" w:hAnsi="Times New Roman" w:eastAsia="仿宋_GB2312" w:cs="Times New Roman"/>
          <w:sz w:val="32"/>
          <w:szCs w:val="32"/>
          <w:lang w:eastAsia="zh-CN" w:bidi="ar"/>
        </w:rPr>
        <w:t>鼓励</w:t>
      </w:r>
      <w:r>
        <w:rPr>
          <w:rFonts w:hint="default" w:ascii="Times New Roman" w:hAnsi="Times New Roman" w:eastAsia="仿宋_GB2312" w:cs="Times New Roman"/>
          <w:sz w:val="32"/>
          <w:szCs w:val="32"/>
          <w:lang w:bidi="ar"/>
        </w:rPr>
        <w:t>按尽职免责处理。</w:t>
      </w:r>
    </w:p>
    <w:p>
      <w:pPr>
        <w:keepNext w:val="0"/>
        <w:keepLines w:val="0"/>
        <w:pageBreakBefore w:val="0"/>
        <w:widowControl w:val="0"/>
        <w:kinsoku/>
        <w:wordWrap/>
        <w:overflowPunct/>
        <w:topLinePunct/>
        <w:autoSpaceDE/>
        <w:autoSpaceDN/>
        <w:bidi w:val="0"/>
        <w:snapToGrid/>
        <w:spacing w:line="580" w:lineRule="exact"/>
        <w:ind w:firstLine="642" w:firstLineChars="200"/>
        <w:jc w:val="both"/>
        <w:textAlignment w:val="auto"/>
        <w:rPr>
          <w:rFonts w:hint="eastAsia" w:ascii="楷体_GB2312" w:hAnsi="楷体_GB2312" w:eastAsia="楷体_GB2312" w:cs="楷体_GB2312"/>
          <w:sz w:val="32"/>
          <w:szCs w:val="32"/>
          <w:lang w:bidi="ar"/>
        </w:rPr>
      </w:pPr>
      <w:r>
        <w:rPr>
          <w:rFonts w:hint="eastAsia" w:ascii="楷体_GB2312" w:hAnsi="楷体_GB2312" w:eastAsia="楷体_GB2312" w:cs="楷体_GB2312"/>
          <w:b/>
          <w:bCs/>
          <w:sz w:val="32"/>
          <w:szCs w:val="32"/>
          <w:lang w:bidi="ar"/>
        </w:rPr>
        <w:t>（三）加强经验总结与推广</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lang w:bidi="ar"/>
        </w:rPr>
        <w:t>各地要加强</w:t>
      </w:r>
      <w:r>
        <w:rPr>
          <w:rFonts w:hint="default" w:ascii="Times New Roman" w:hAnsi="Times New Roman" w:eastAsia="仿宋_GB2312" w:cs="Times New Roman"/>
          <w:sz w:val="32"/>
          <w:szCs w:val="32"/>
        </w:rPr>
        <w:t>“豫科积分”</w:t>
      </w:r>
      <w:r>
        <w:rPr>
          <w:rFonts w:hint="default" w:ascii="Times New Roman" w:hAnsi="Times New Roman" w:eastAsia="仿宋_GB2312" w:cs="Times New Roman"/>
          <w:sz w:val="32"/>
          <w:szCs w:val="32"/>
          <w:lang w:bidi="ar"/>
        </w:rPr>
        <w:t>政策宣贯，通过专题培训、案例解读等方式提升企业参与度，及时总结积分评价应用成效，探索拓展“积分+”应用场景，推动</w:t>
      </w:r>
      <w:r>
        <w:rPr>
          <w:rFonts w:hint="default" w:ascii="Times New Roman" w:hAnsi="Times New Roman" w:eastAsia="仿宋_GB2312" w:cs="Times New Roman"/>
          <w:sz w:val="32"/>
          <w:szCs w:val="32"/>
        </w:rPr>
        <w:t>“豫科积分”</w:t>
      </w:r>
      <w:r>
        <w:rPr>
          <w:rFonts w:hint="default" w:ascii="Times New Roman" w:hAnsi="Times New Roman" w:eastAsia="仿宋_GB2312" w:cs="Times New Roman"/>
          <w:sz w:val="32"/>
          <w:szCs w:val="32"/>
          <w:lang w:bidi="ar"/>
        </w:rPr>
        <w:t>在科技金融、绿色金融、普惠金融、养老金融和数字金融等领域创新应用。</w:t>
      </w: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pPr>
    </w:p>
    <w:p>
      <w:pPr>
        <w:keepNext w:val="0"/>
        <w:keepLines w:val="0"/>
        <w:pageBreakBefore w:val="0"/>
        <w:widowControl w:val="0"/>
        <w:kinsoku/>
        <w:wordWrap/>
        <w:overflowPunct/>
        <w:topLinePunct/>
        <w:autoSpaceDE/>
        <w:autoSpaceDN/>
        <w:bidi w:val="0"/>
        <w:snapToGrid/>
        <w:spacing w:line="580" w:lineRule="exact"/>
        <w:ind w:firstLine="640" w:firstLineChars="200"/>
        <w:jc w:val="both"/>
        <w:textAlignment w:val="auto"/>
        <w:rPr>
          <w:rFonts w:hint="default" w:ascii="Times New Roman" w:hAnsi="Times New Roman" w:eastAsia="仿宋_GB2312" w:cs="Times New Roman"/>
          <w:sz w:val="32"/>
          <w:szCs w:val="32"/>
          <w:lang w:bidi="ar"/>
        </w:rPr>
        <w:sectPr>
          <w:footerReference r:id="rId3" w:type="default"/>
          <w:pgSz w:w="11906" w:h="16838"/>
          <w:pgMar w:top="2098" w:right="1474" w:bottom="1814" w:left="1587" w:header="851" w:footer="133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default" w:ascii="Times New Roman" w:hAnsi="Times New Roman" w:eastAsia="仿宋_GB2312" w:cs="Times New Roman"/>
          <w:sz w:val="32"/>
          <w:szCs w:val="32"/>
          <w:lang w:bidi="ar"/>
        </w:rPr>
        <w:t>附：</w:t>
      </w:r>
      <w:r>
        <w:rPr>
          <w:rFonts w:hint="default" w:ascii="Times New Roman" w:hAnsi="Times New Roman" w:eastAsia="仿宋_GB2312" w:cs="Times New Roman"/>
          <w:sz w:val="32"/>
          <w:szCs w:val="32"/>
        </w:rPr>
        <w:t>“豫科积分”评价</w:t>
      </w:r>
      <w:r>
        <w:rPr>
          <w:rFonts w:hint="default" w:ascii="Times New Roman" w:hAnsi="Times New Roman" w:eastAsia="仿宋_GB2312" w:cs="Times New Roman"/>
          <w:sz w:val="32"/>
          <w:szCs w:val="32"/>
          <w:lang w:bidi="ar"/>
        </w:rPr>
        <w:t>指标体系</w:t>
      </w:r>
    </w:p>
    <w:p>
      <w:pPr>
        <w:keepNext w:val="0"/>
        <w:keepLines w:val="0"/>
        <w:pageBreakBefore w:val="0"/>
        <w:widowControl w:val="0"/>
        <w:kinsoku/>
        <w:wordWrap/>
        <w:overflowPunct/>
        <w:topLinePunct/>
        <w:autoSpaceDE/>
        <w:autoSpaceDN/>
        <w:bidi w:val="0"/>
        <w:spacing w:line="580" w:lineRule="exact"/>
        <w:rPr>
          <w:rFonts w:hint="default" w:ascii="Times New Roman" w:hAnsi="Times New Roman" w:eastAsia="仿宋_GB2312" w:cs="Times New Roman"/>
          <w:sz w:val="32"/>
          <w:szCs w:val="32"/>
          <w:lang w:bidi="ar"/>
        </w:rPr>
      </w:pPr>
      <w:r>
        <w:rPr>
          <w:rFonts w:hint="default" w:ascii="Times New Roman" w:hAnsi="Times New Roman" w:eastAsia="黑体" w:cs="Times New Roman"/>
          <w:sz w:val="32"/>
          <w:szCs w:val="32"/>
          <w:lang w:bidi="ar"/>
        </w:rPr>
        <w:t>附</w:t>
      </w:r>
    </w:p>
    <w:p>
      <w:pPr>
        <w:keepNext w:val="0"/>
        <w:keepLines w:val="0"/>
        <w:pageBreakBefore w:val="0"/>
        <w:widowControl w:val="0"/>
        <w:kinsoku/>
        <w:wordWrap/>
        <w:overflowPunct/>
        <w:topLinePunct/>
        <w:autoSpaceDE/>
        <w:autoSpaceDN/>
        <w:bidi w:val="0"/>
        <w:spacing w:line="58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“豫科积分”评价指标体系</w:t>
      </w:r>
    </w:p>
    <w:tbl>
      <w:tblPr>
        <w:tblStyle w:val="12"/>
        <w:tblW w:w="14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1451"/>
        <w:gridCol w:w="2349"/>
        <w:gridCol w:w="1390"/>
        <w:gridCol w:w="7063"/>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黑体" w:cs="Times New Roman"/>
                <w:color w:val="000000" w:themeColor="text1"/>
                <w:spacing w:val="0"/>
                <w:position w:val="0"/>
                <w:sz w:val="28"/>
                <w:szCs w:val="28"/>
                <w14:textFill>
                  <w14:solidFill>
                    <w14:schemeClr w14:val="tx1"/>
                  </w14:solidFill>
                </w14:textFill>
              </w:rPr>
            </w:pPr>
            <w:r>
              <w:rPr>
                <w:rFonts w:hint="default" w:ascii="Times New Roman" w:hAnsi="Times New Roman" w:eastAsia="黑体" w:cs="Times New Roman"/>
                <w:color w:val="000000" w:themeColor="text1"/>
                <w:spacing w:val="0"/>
                <w:position w:val="0"/>
                <w:sz w:val="28"/>
                <w:szCs w:val="28"/>
                <w14:textFill>
                  <w14:solidFill>
                    <w14:schemeClr w14:val="tx1"/>
                  </w14:solidFill>
                </w14:textFill>
              </w:rPr>
              <w:t>序号</w:t>
            </w:r>
          </w:p>
        </w:tc>
        <w:tc>
          <w:tcPr>
            <w:tcW w:w="1451"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黑体" w:cs="Times New Roman"/>
                <w:color w:val="000000" w:themeColor="text1"/>
                <w:spacing w:val="0"/>
                <w:position w:val="0"/>
                <w:sz w:val="28"/>
                <w:szCs w:val="28"/>
                <w14:textFill>
                  <w14:solidFill>
                    <w14:schemeClr w14:val="tx1"/>
                  </w14:solidFill>
                </w14:textFill>
              </w:rPr>
            </w:pPr>
            <w:r>
              <w:rPr>
                <w:rFonts w:hint="default" w:ascii="Times New Roman" w:hAnsi="Times New Roman" w:eastAsia="黑体" w:cs="Times New Roman"/>
                <w:color w:val="000000" w:themeColor="text1"/>
                <w:spacing w:val="0"/>
                <w:position w:val="0"/>
                <w:sz w:val="28"/>
                <w:szCs w:val="28"/>
                <w14:textFill>
                  <w14:solidFill>
                    <w14:schemeClr w14:val="tx1"/>
                  </w14:solidFill>
                </w14:textFill>
              </w:rPr>
              <w:t>一级指标</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黑体" w:cs="Times New Roman"/>
                <w:color w:val="000000" w:themeColor="text1"/>
                <w:spacing w:val="0"/>
                <w:position w:val="0"/>
                <w:sz w:val="28"/>
                <w:szCs w:val="28"/>
                <w14:textFill>
                  <w14:solidFill>
                    <w14:schemeClr w14:val="tx1"/>
                  </w14:solidFill>
                </w14:textFill>
              </w:rPr>
            </w:pPr>
            <w:r>
              <w:rPr>
                <w:rFonts w:hint="default" w:ascii="Times New Roman" w:hAnsi="Times New Roman" w:eastAsia="黑体" w:cs="Times New Roman"/>
                <w:color w:val="000000" w:themeColor="text1"/>
                <w:spacing w:val="0"/>
                <w:position w:val="0"/>
                <w:sz w:val="28"/>
                <w:szCs w:val="28"/>
                <w14:textFill>
                  <w14:solidFill>
                    <w14:schemeClr w14:val="tx1"/>
                  </w14:solidFill>
                </w14:textFill>
              </w:rPr>
              <w:t>二级指标</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黑体" w:cs="Times New Roman"/>
                <w:color w:val="000000" w:themeColor="text1"/>
                <w:spacing w:val="0"/>
                <w:position w:val="0"/>
                <w:sz w:val="28"/>
                <w:szCs w:val="28"/>
                <w14:textFill>
                  <w14:solidFill>
                    <w14:schemeClr w14:val="tx1"/>
                  </w14:solidFill>
                </w14:textFill>
              </w:rPr>
            </w:pPr>
            <w:r>
              <w:rPr>
                <w:rFonts w:hint="default" w:ascii="Times New Roman" w:hAnsi="Times New Roman" w:eastAsia="黑体" w:cs="Times New Roman"/>
                <w:color w:val="000000" w:themeColor="text1"/>
                <w:spacing w:val="0"/>
                <w:position w:val="0"/>
                <w:sz w:val="28"/>
                <w:szCs w:val="28"/>
                <w14:textFill>
                  <w14:solidFill>
                    <w14:schemeClr w14:val="tx1"/>
                  </w14:solidFill>
                </w14:textFill>
              </w:rPr>
              <w:t>数据年限</w:t>
            </w:r>
          </w:p>
        </w:tc>
        <w:tc>
          <w:tcPr>
            <w:tcW w:w="7063"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黑体" w:cs="Times New Roman"/>
                <w:color w:val="000000" w:themeColor="text1"/>
                <w:spacing w:val="0"/>
                <w:position w:val="0"/>
                <w:sz w:val="28"/>
                <w:szCs w:val="28"/>
                <w14:textFill>
                  <w14:solidFill>
                    <w14:schemeClr w14:val="tx1"/>
                  </w14:solidFill>
                </w14:textFill>
              </w:rPr>
            </w:pPr>
            <w:r>
              <w:rPr>
                <w:rFonts w:hint="default" w:ascii="Times New Roman" w:hAnsi="Times New Roman" w:eastAsia="黑体" w:cs="Times New Roman"/>
                <w:color w:val="000000" w:themeColor="text1"/>
                <w:spacing w:val="0"/>
                <w:position w:val="0"/>
                <w:sz w:val="28"/>
                <w:szCs w:val="28"/>
                <w14:textFill>
                  <w14:solidFill>
                    <w14:schemeClr w14:val="tx1"/>
                  </w14:solidFill>
                </w14:textFill>
              </w:rPr>
              <w:t>指标解释</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黑体" w:cs="Times New Roman"/>
                <w:color w:val="000000" w:themeColor="text1"/>
                <w:spacing w:val="0"/>
                <w:position w:val="0"/>
                <w:sz w:val="28"/>
                <w:szCs w:val="28"/>
                <w14:textFill>
                  <w14:solidFill>
                    <w14:schemeClr w14:val="tx1"/>
                  </w14:solidFill>
                </w14:textFill>
              </w:rPr>
            </w:pPr>
            <w:r>
              <w:rPr>
                <w:rFonts w:hint="default" w:ascii="Times New Roman" w:hAnsi="Times New Roman" w:eastAsia="黑体" w:cs="Times New Roman"/>
                <w:color w:val="000000" w:themeColor="text1"/>
                <w:spacing w:val="0"/>
                <w:position w:val="0"/>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w:t>
            </w:r>
          </w:p>
        </w:tc>
        <w:tc>
          <w:tcPr>
            <w:tcW w:w="1451" w:type="dxa"/>
            <w:vMerge w:val="restart"/>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创新投入 （50分）</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研发费用金额（万元）</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研发费用主要包括研发活动的人工费用、直接投入费用、用于研发活动的仪器、设备的折旧费、用于研发活动的软件、专利权、非专利技术的摊销费用、新产品设计费、新工艺规程制定费以及其他研发活动相关费用</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2</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研发费用占营业收入的比例（%）</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填报期企业研发费用总额÷同期营业收入总额</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3</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0" w:name="_Hlk214356170"/>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研发人员占比</w:t>
            </w:r>
            <w:bookmarkEnd w:id="0"/>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填报期企业参加科研项目活动的人员总数÷企业从业人员期末人数</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4</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1" w:name="_Hlk214356190"/>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高层次人才数量</w:t>
            </w:r>
            <w:bookmarkEnd w:id="1"/>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累计总量</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截至填报期企业高层次人才的数量</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河南省指标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5</w:t>
            </w:r>
          </w:p>
        </w:tc>
        <w:tc>
          <w:tcPr>
            <w:tcW w:w="1451" w:type="dxa"/>
            <w:vMerge w:val="restart"/>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创新产出 （30分）</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2" w:name="_Hlk214356577"/>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发明专利授权量</w:t>
            </w:r>
            <w:bookmarkEnd w:id="2"/>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（件）</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累计总量</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企业拥有的经知识产权行政部门授权且在有效期内的发明专利件数</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6</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3" w:name="_Hlk214356635"/>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每百人研发人员的知识产权数量</w:t>
            </w:r>
            <w:bookmarkEnd w:id="3"/>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（件）</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知识产权拥有件数÷研发人员（百人）。知识产权包括国内外专利、植物新品种、集成电路布图设计专有权、软件著作权等</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7</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4" w:name="_Hlk214356654"/>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企业技术合同成交额</w:t>
            </w:r>
            <w:bookmarkEnd w:id="4"/>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（万元）</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填报期内企业吸纳和输出的技术合同成交总额（开发合作、转让合同）</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8</w:t>
            </w:r>
          </w:p>
        </w:tc>
        <w:tc>
          <w:tcPr>
            <w:tcW w:w="1451" w:type="dxa"/>
            <w:vMerge w:val="restart"/>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创新发展 （20分）</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5" w:name="_Hlk214357196"/>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主营业务收入</w:t>
            </w:r>
            <w:bookmarkEnd w:id="5"/>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（万元）</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13"/>
              <w:keepNext w:val="0"/>
              <w:keepLines w:val="0"/>
              <w:pageBreakBefore w:val="0"/>
              <w:widowControl w:val="0"/>
              <w:kinsoku/>
              <w:wordWrap/>
              <w:overflowPunct/>
              <w:topLinePunct/>
              <w:autoSpaceDE/>
              <w:autoSpaceDN/>
              <w:bidi w:val="0"/>
              <w:snapToGrid w:val="0"/>
              <w:spacing w:after="0"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填报期内企业销售技术产品、提供服务等主营业务取得的收入总额</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9</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营业收入增长率（%）</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填报期企业当年营业收入增加额÷上年营业收入总额</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10</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净资产利润率（%）</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填报期内企业净利润÷ [（期初所有者权益+期末所有者权益） ÷2]</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11</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人均创收额（万元）</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填报期内企业营业收入÷从业人员期末人数</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河南省指标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12</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纳税总额占营业收入的比重（%）</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填报期内企业纳税总额占营业收入总额的比例。</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河南省指标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13</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营业利润率（%）</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填报期内企业营业利润÷营业收入</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河南省指标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14</w:t>
            </w:r>
          </w:p>
        </w:tc>
        <w:tc>
          <w:tcPr>
            <w:tcW w:w="1451" w:type="dxa"/>
            <w:vMerge w:val="restart"/>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创新影响（加分项）（30分）</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6" w:name="_Hlk214357399"/>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承担地市级、省级及以上科技计划项  目数量、科技奖励数 量、参与制定国家或行业标准数量</w:t>
            </w:r>
            <w:bookmarkEnd w:id="6"/>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（项）</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累计总量</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企业作为牵头或参与单位承担的地市级、省级及以上科技计划项目/课题累计总数量；作为第一单位获得的地市级、省级及以上科技奖励累计总数量；作为起草单位参与制定并已发布的国家标准、行业标准、地方标准的累计总数量</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15</w:t>
            </w:r>
          </w:p>
        </w:tc>
        <w:tc>
          <w:tcPr>
            <w:tcW w:w="1451" w:type="dxa"/>
            <w:vMerge w:val="continue"/>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7" w:name="_Hlk214357419"/>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获得天使投资、风险投资、贷款等融资金额</w:t>
            </w:r>
            <w:bookmarkEnd w:id="7"/>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（万元）</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累计总量</w:t>
            </w:r>
          </w:p>
        </w:tc>
        <w:tc>
          <w:tcPr>
            <w:tcW w:w="7063" w:type="dxa"/>
            <w:vAlign w:val="center"/>
          </w:tcPr>
          <w:p>
            <w:pPr>
              <w:pStyle w:val="7"/>
              <w:keepNext w:val="0"/>
              <w:keepLines w:val="0"/>
              <w:pageBreakBefore w:val="0"/>
              <w:widowControl w:val="0"/>
              <w:kinsoku/>
              <w:wordWrap/>
              <w:overflowPunct/>
              <w:topLinePunct/>
              <w:autoSpaceDE/>
              <w:autoSpaceDN/>
              <w:bidi w:val="0"/>
              <w:adjustRightInd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企业获得天使投资、创投机构投资、银行贷款额等多渠道融资金额</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16</w:t>
            </w:r>
          </w:p>
        </w:tc>
        <w:tc>
          <w:tcPr>
            <w:tcW w:w="1451"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创新影响（加分项）（30分）</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bookmarkStart w:id="8" w:name="_Hlk214357442"/>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企业或主导产品行业排名情况、企业取得科技相关资质情况</w:t>
            </w:r>
            <w:bookmarkEnd w:id="8"/>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3年以内</w:t>
            </w:r>
          </w:p>
        </w:tc>
        <w:tc>
          <w:tcPr>
            <w:tcW w:w="7063"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企业或主导产品在国内外重点领域或细分领域行业排名情况，包括全球行业头部机构排名、国际标准组织认证排名、省部级及以上相关机构相关官方统计报告、国内权威市场研究机构报告。企业取得“科技领军企业”“国家高新技术企业” “科技型中小企业”“小巨人”“专精特新”等科技相关资质</w:t>
            </w:r>
          </w:p>
        </w:tc>
        <w:tc>
          <w:tcPr>
            <w:tcW w:w="1725" w:type="dxa"/>
            <w:vAlign w:val="center"/>
          </w:tcPr>
          <w:p>
            <w:pPr>
              <w:keepNext w:val="0"/>
              <w:keepLines w:val="0"/>
              <w:pageBreakBefore w:val="0"/>
              <w:widowControl w:val="0"/>
              <w:kinsoku/>
              <w:wordWrap/>
              <w:overflowPunct/>
              <w:topLinePunct/>
              <w:autoSpaceDE/>
              <w:autoSpaceDN/>
              <w:bidi w:val="0"/>
              <w:snapToGrid w:val="0"/>
              <w:spacing w:line="240" w:lineRule="auto"/>
              <w:jc w:val="left"/>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科技部指标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812"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17</w:t>
            </w:r>
          </w:p>
        </w:tc>
        <w:tc>
          <w:tcPr>
            <w:tcW w:w="1451" w:type="dxa"/>
            <w:vAlign w:val="center"/>
          </w:tcPr>
          <w:p>
            <w:pPr>
              <w:keepNext w:val="0"/>
              <w:keepLines w:val="0"/>
              <w:pageBreakBefore w:val="0"/>
              <w:widowControl w:val="0"/>
              <w:kinsoku/>
              <w:wordWrap/>
              <w:overflowPunct/>
              <w:topLinePunct/>
              <w:autoSpaceDE/>
              <w:autoSpaceDN/>
              <w:bidi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约束指标（减分项）</w:t>
            </w:r>
          </w:p>
        </w:tc>
        <w:tc>
          <w:tcPr>
            <w:tcW w:w="2349"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kern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被纳入失信被执行人情况</w:t>
            </w:r>
          </w:p>
        </w:tc>
        <w:tc>
          <w:tcPr>
            <w:tcW w:w="1390" w:type="dxa"/>
            <w:vAlign w:val="center"/>
          </w:tcPr>
          <w:p>
            <w:pPr>
              <w:keepNext w:val="0"/>
              <w:keepLines w:val="0"/>
              <w:pageBreakBefore w:val="0"/>
              <w:widowControl w:val="0"/>
              <w:kinsoku/>
              <w:wordWrap/>
              <w:overflowPunct/>
              <w:topLinePunct/>
              <w:autoSpaceDE/>
              <w:autoSpaceDN/>
              <w:bidi w:val="0"/>
              <w:snapToGrid w:val="0"/>
              <w:spacing w:line="240" w:lineRule="auto"/>
              <w:jc w:val="center"/>
              <w:textAlignment w:val="cente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pPr>
            <w:r>
              <w:rPr>
                <w:rFonts w:hint="default" w:ascii="Times New Roman" w:hAnsi="Times New Roman" w:eastAsia="仿宋_GB2312" w:cs="Times New Roman"/>
                <w:color w:val="000000" w:themeColor="text1"/>
                <w:spacing w:val="0"/>
                <w:kern w:val="0"/>
                <w:position w:val="0"/>
                <w:sz w:val="28"/>
                <w:szCs w:val="28"/>
                <w:lang w:bidi="ar"/>
                <w14:textFill>
                  <w14:solidFill>
                    <w14:schemeClr w14:val="tx1"/>
                  </w14:solidFill>
                </w14:textFill>
              </w:rPr>
              <w:t>当年</w:t>
            </w:r>
          </w:p>
        </w:tc>
        <w:tc>
          <w:tcPr>
            <w:tcW w:w="7063" w:type="dxa"/>
            <w:vAlign w:val="center"/>
          </w:tcPr>
          <w:p>
            <w:pPr>
              <w:keepNext w:val="0"/>
              <w:keepLines w:val="0"/>
              <w:pageBreakBefore w:val="0"/>
              <w:widowControl w:val="0"/>
              <w:kinsoku/>
              <w:wordWrap/>
              <w:overflowPunct/>
              <w:topLinePunct/>
              <w:autoSpaceDE/>
              <w:autoSpaceDN/>
              <w:bidi w:val="0"/>
              <w:snapToGrid w:val="0"/>
              <w:spacing w:line="240" w:lineRule="auto"/>
              <w:jc w:val="both"/>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填报期内企业、法定代表人、实控人、大股东等被纳入失信被执行人情况</w:t>
            </w:r>
          </w:p>
        </w:tc>
        <w:tc>
          <w:tcPr>
            <w:tcW w:w="1725" w:type="dxa"/>
            <w:vAlign w:val="center"/>
          </w:tcPr>
          <w:p>
            <w:pPr>
              <w:keepNext w:val="0"/>
              <w:keepLines w:val="0"/>
              <w:pageBreakBefore w:val="0"/>
              <w:widowControl w:val="0"/>
              <w:kinsoku/>
              <w:wordWrap/>
              <w:overflowPunct/>
              <w:topLinePunct/>
              <w:autoSpaceDE/>
              <w:autoSpaceDN/>
              <w:bidi w:val="0"/>
              <w:adjustRightInd w:val="0"/>
              <w:snapToGrid w:val="0"/>
              <w:spacing w:line="240" w:lineRule="auto"/>
              <w:jc w:val="cente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pP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河南省指标</w:t>
            </w:r>
          </w:p>
        </w:tc>
      </w:tr>
    </w:tbl>
    <w:p>
      <w:pPr>
        <w:keepNext w:val="0"/>
        <w:keepLines w:val="0"/>
        <w:pageBreakBefore w:val="0"/>
        <w:widowControl w:val="0"/>
        <w:kinsoku/>
        <w:wordWrap/>
        <w:overflowPunct/>
        <w:topLinePunct/>
        <w:autoSpaceDE/>
        <w:autoSpaceDN/>
        <w:bidi w:val="0"/>
        <w:spacing w:line="580" w:lineRule="exact"/>
        <w:rPr>
          <w:rFonts w:hint="default" w:ascii="Times New Roman" w:hAnsi="Times New Roman" w:eastAsia="仿宋_GB2312" w:cs="Times New Roman"/>
        </w:rPr>
      </w:pPr>
    </w:p>
    <w:sectPr>
      <w:pgSz w:w="16838" w:h="11906" w:orient="landscape"/>
      <w:pgMar w:top="1587" w:right="1440" w:bottom="1474" w:left="1440" w:header="851" w:footer="133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长城小标宋体">
    <w:altName w:val="方正小标宋_GBK"/>
    <w:panose1 w:val="00000000000000000000"/>
    <w:charset w:val="00"/>
    <w:family w:val="moder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公文小标宋">
    <w:altName w:val="方正小标宋_GBK"/>
    <w:panose1 w:val="02000500000000000000"/>
    <w:charset w:val="86"/>
    <w:family w:val="auto"/>
    <w:pitch w:val="default"/>
    <w:sig w:usb0="00000000" w:usb1="00000000"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lang w:val="en-US" w:eastAsia="zh-CN"/>
                            </w:rPr>
                          </w:pPr>
                          <w:r>
                            <w:rPr>
                              <w:rFonts w:hint="eastAsia" w:ascii="宋体" w:hAnsi="宋体" w:eastAsia="宋体" w:cs="宋体"/>
                              <w:color w:val="FFFFFF" w:themeColor="background1"/>
                              <w:sz w:val="28"/>
                              <w:szCs w:val="28"/>
                              <w:lang w:eastAsia="zh-CN"/>
                              <w14:textFill>
                                <w14:solidFill>
                                  <w14:schemeClr w14:val="bg1"/>
                                </w14:solidFill>
                              </w14:textFill>
                            </w:rPr>
                            <w:t>—</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color w:val="FFFFFF" w:themeColor="background1"/>
                              <w:sz w:val="28"/>
                              <w:szCs w:val="28"/>
                              <w:lang w:val="en-US" w:eastAsia="zh-CN"/>
                              <w14:textFill>
                                <w14:solidFill>
                                  <w14:schemeClr w14:val="bg1"/>
                                </w14:solidFill>
                              </w14:textFill>
                            </w:rPr>
                            <w:t>—</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lang w:val="en-US" w:eastAsia="zh-CN"/>
                      </w:rPr>
                    </w:pPr>
                    <w:r>
                      <w:rPr>
                        <w:rFonts w:hint="eastAsia" w:ascii="宋体" w:hAnsi="宋体" w:eastAsia="宋体" w:cs="宋体"/>
                        <w:color w:val="FFFFFF" w:themeColor="background1"/>
                        <w:sz w:val="28"/>
                        <w:szCs w:val="28"/>
                        <w:lang w:eastAsia="zh-CN"/>
                        <w14:textFill>
                          <w14:solidFill>
                            <w14:schemeClr w14:val="bg1"/>
                          </w14:solidFill>
                        </w14:textFill>
                      </w:rPr>
                      <w:t>—</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color w:val="FFFFFF" w:themeColor="background1"/>
                        <w:sz w:val="28"/>
                        <w:szCs w:val="28"/>
                        <w:lang w:val="en-US" w:eastAsia="zh-CN"/>
                        <w14:textFill>
                          <w14:solidFill>
                            <w14:schemeClr w14:val="bg1"/>
                          </w14:solidFill>
                        </w14:textFill>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EA922"/>
    <w:rsid w:val="00050A31"/>
    <w:rsid w:val="00094592"/>
    <w:rsid w:val="000C682D"/>
    <w:rsid w:val="00137FEC"/>
    <w:rsid w:val="002C137E"/>
    <w:rsid w:val="002D4C64"/>
    <w:rsid w:val="00307AC6"/>
    <w:rsid w:val="00310568"/>
    <w:rsid w:val="004415F4"/>
    <w:rsid w:val="005A34C3"/>
    <w:rsid w:val="006C453A"/>
    <w:rsid w:val="008D7236"/>
    <w:rsid w:val="00A21ADB"/>
    <w:rsid w:val="00A468DE"/>
    <w:rsid w:val="00AE2B77"/>
    <w:rsid w:val="00D90A19"/>
    <w:rsid w:val="00EE04A5"/>
    <w:rsid w:val="00F95C9F"/>
    <w:rsid w:val="01F50392"/>
    <w:rsid w:val="10320272"/>
    <w:rsid w:val="201D3321"/>
    <w:rsid w:val="3CD644EF"/>
    <w:rsid w:val="3FFFD338"/>
    <w:rsid w:val="5DB93CAE"/>
    <w:rsid w:val="6BF715B7"/>
    <w:rsid w:val="6FE13270"/>
    <w:rsid w:val="77BF474F"/>
    <w:rsid w:val="7A6F66BA"/>
    <w:rsid w:val="7BF8C0EA"/>
    <w:rsid w:val="7FFEA922"/>
    <w:rsid w:val="87F2601D"/>
    <w:rsid w:val="BFEF820C"/>
    <w:rsid w:val="D64F0A34"/>
    <w:rsid w:val="DFF770F6"/>
    <w:rsid w:val="DFFAE002"/>
    <w:rsid w:val="E9EFFB91"/>
    <w:rsid w:val="EDFF42E1"/>
    <w:rsid w:val="FAFDC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4"/>
    <w:next w:val="1"/>
    <w:semiHidden/>
    <w:unhideWhenUsed/>
    <w:qFormat/>
    <w:uiPriority w:val="0"/>
    <w:pPr>
      <w:spacing w:line="300" w:lineRule="auto"/>
      <w:ind w:firstLine="0"/>
      <w:jc w:val="center"/>
      <w:outlineLvl w:val="3"/>
    </w:pPr>
    <w:rPr>
      <w:rFonts w:eastAsia="长城小标宋体" w:cs="Times New Roman"/>
      <w:b/>
      <w:bCs/>
      <w:spacing w:val="6"/>
      <w:sz w:val="44"/>
      <w:szCs w:val="44"/>
    </w:rPr>
  </w:style>
  <w:style w:type="paragraph" w:styleId="4">
    <w:name w:val="heading 5"/>
    <w:basedOn w:val="1"/>
    <w:next w:val="1"/>
    <w:semiHidden/>
    <w:unhideWhenUsed/>
    <w:qFormat/>
    <w:uiPriority w:val="0"/>
    <w:pPr>
      <w:ind w:left="1400" w:hanging="400"/>
      <w:outlineLvl w:val="4"/>
    </w:pPr>
    <w:rPr>
      <w:rFonts w:ascii="Calibri" w:hAnsi="Calibri" w:eastAsia="宋体"/>
      <w:szCs w:val="21"/>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修订1"/>
    <w:hidden/>
    <w:unhideWhenUsed/>
    <w:qFormat/>
    <w:uiPriority w:val="99"/>
    <w:rPr>
      <w:rFonts w:asciiTheme="minorHAnsi" w:hAnsiTheme="minorHAnsi" w:eastAsiaTheme="minorEastAsia" w:cstheme="minorBidi"/>
      <w:kern w:val="2"/>
      <w:sz w:val="21"/>
      <w:szCs w:val="24"/>
      <w:lang w:val="en-US" w:eastAsia="zh-CN" w:bidi="ar-SA"/>
    </w:rPr>
  </w:style>
  <w:style w:type="table" w:customStyle="1" w:styleId="12">
    <w:name w:val="网格型1"/>
    <w:basedOn w:val="8"/>
    <w:qFormat/>
    <w:uiPriority w:val="0"/>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Text"/>
    <w:basedOn w:val="1"/>
    <w:hidden/>
    <w:qFormat/>
    <w:uiPriority w:val="0"/>
    <w:pPr>
      <w:widowControl/>
      <w:kinsoku w:val="0"/>
      <w:autoSpaceDE w:val="0"/>
      <w:autoSpaceDN w:val="0"/>
      <w:adjustRightInd w:val="0"/>
      <w:snapToGrid w:val="0"/>
      <w:spacing w:after="160"/>
      <w:jc w:val="left"/>
    </w:pPr>
    <w:rPr>
      <w:rFonts w:hint="eastAsia" w:ascii="仿宋" w:hAnsi="仿宋" w:eastAsia="仿宋" w:cs="Times New Roman"/>
      <w:color w:val="000000"/>
      <w:kern w:val="0"/>
      <w:sz w:val="28"/>
      <w:szCs w:val="28"/>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3360</Words>
  <Characters>3383</Characters>
  <Lines>344</Lines>
  <Paragraphs>222</Paragraphs>
  <TotalTime>7</TotalTime>
  <ScaleCrop>false</ScaleCrop>
  <LinksUpToDate>false</LinksUpToDate>
  <CharactersWithSpaces>3386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2025-09-27T11:38:00Z</dcterms:created>
  <dc:creator> </dc:creator>
  <cp:lastModifiedBy> </cp:lastModifiedBy>
  <dcterms:modified xsi:type="dcterms:W3CDTF">2026-01-04T16:33:54Z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3E06E6698BAC4F8A82AAB4F68C9A7A23_13</vt:lpwstr>
  </property>
  <property fmtid="{D5CDD505-2E9C-101B-9397-08002B2CF9AE}" pid="4" name="KSOTemplateDocerSaveRecord">
    <vt:lpwstr>eyJoZGlkIjoiMzA4ZDhmOGU0OWM5MGRhYzU2ZWI5ODJjODRmZDQ2MTQiLCJ1c2VySWQiOiI1OTI5NDA0MTAifQ==</vt:lpwstr>
  </property>
</Properties>
</file>