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highlight w:val="none"/>
          <w:lang w:val="en-US" w:eastAsia="zh-CN"/>
        </w:rPr>
      </w:pPr>
      <w:bookmarkStart w:id="0" w:name="_GoBack"/>
      <w:bookmarkEnd w:id="0"/>
      <w:r>
        <w:rPr>
          <w:rFonts w:hint="eastAsia" w:ascii="黑体" w:hAnsi="黑体" w:eastAsia="黑体" w:cs="黑体"/>
          <w:sz w:val="32"/>
          <w:szCs w:val="32"/>
          <w:highlight w:val="none"/>
          <w:lang w:val="en-US" w:eastAsia="zh-CN"/>
        </w:rPr>
        <w:t>附  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rPr>
          <w:rFonts w:hint="default" w:ascii="Times New Roman" w:hAnsi="Times New Roman" w:eastAsia="长城小标宋体" w:cs="Times New Roman"/>
          <w:b/>
          <w:color w:val="000000"/>
          <w:sz w:val="42"/>
          <w:szCs w:val="42"/>
          <w:highlight w:val="none"/>
          <w:lang w:val="en-US" w:eastAsia="zh-CN"/>
        </w:rPr>
      </w:pPr>
      <w:r>
        <w:rPr>
          <w:rFonts w:hint="eastAsia" w:ascii="Times New Roman" w:hAnsi="Times New Roman" w:eastAsia="长城小标宋体" w:cs="Times New Roman"/>
          <w:b/>
          <w:color w:val="000000"/>
          <w:sz w:val="42"/>
          <w:szCs w:val="42"/>
          <w:highlight w:val="none"/>
          <w:lang w:val="en-US" w:eastAsia="zh-CN"/>
        </w:rPr>
        <w:t>河南省政府部门涉企保证金目录清单</w:t>
      </w:r>
      <w:r>
        <w:rPr>
          <w:rFonts w:hint="eastAsia" w:eastAsia="长城小标宋体" w:cs="Times New Roman"/>
          <w:b/>
          <w:color w:val="000000"/>
          <w:sz w:val="42"/>
          <w:szCs w:val="42"/>
          <w:highlight w:val="none"/>
          <w:lang w:val="en-US" w:eastAsia="zh-CN"/>
        </w:rPr>
        <w:t>（2025年版）</w:t>
      </w:r>
    </w:p>
    <w:tbl>
      <w:tblPr>
        <w:tblStyle w:val="5"/>
        <w:tblW w:w="14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425"/>
        <w:gridCol w:w="1874"/>
        <w:gridCol w:w="2180"/>
        <w:gridCol w:w="2145"/>
        <w:gridCol w:w="1842"/>
        <w:gridCol w:w="1978"/>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8" w:hRule="atLeast"/>
          <w:jc w:val="center"/>
        </w:trPr>
        <w:tc>
          <w:tcPr>
            <w:tcW w:w="900"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lang w:eastAsia="zh-CN"/>
              </w:rPr>
              <w:t>序号</w:t>
            </w:r>
          </w:p>
        </w:tc>
        <w:tc>
          <w:tcPr>
            <w:tcW w:w="1425"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项目名称</w:t>
            </w:r>
          </w:p>
        </w:tc>
        <w:tc>
          <w:tcPr>
            <w:tcW w:w="1874"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设立或管理单位</w:t>
            </w:r>
          </w:p>
        </w:tc>
        <w:tc>
          <w:tcPr>
            <w:tcW w:w="2180"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设立依据</w:t>
            </w:r>
          </w:p>
        </w:tc>
        <w:tc>
          <w:tcPr>
            <w:tcW w:w="2145"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征收标准</w:t>
            </w:r>
          </w:p>
        </w:tc>
        <w:tc>
          <w:tcPr>
            <w:tcW w:w="1842"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征收方式</w:t>
            </w:r>
          </w:p>
        </w:tc>
        <w:tc>
          <w:tcPr>
            <w:tcW w:w="1978"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征收程序</w:t>
            </w:r>
          </w:p>
        </w:tc>
        <w:tc>
          <w:tcPr>
            <w:tcW w:w="2374" w:type="dxa"/>
            <w:vAlign w:val="center"/>
          </w:tcPr>
          <w:p>
            <w:pPr>
              <w:widowControl/>
              <w:snapToGrid w:val="0"/>
              <w:jc w:val="center"/>
              <w:rPr>
                <w:rFonts w:hint="default" w:ascii="Times New Roman" w:hAnsi="Times New Roman" w:eastAsia="长城小标宋体" w:cs="Times New Roman"/>
                <w:b/>
                <w:color w:val="000000"/>
                <w:sz w:val="28"/>
                <w:szCs w:val="28"/>
                <w:highlight w:val="none"/>
                <w:vertAlign w:val="baseline"/>
                <w:lang w:val="en-US" w:eastAsia="zh-CN"/>
              </w:rPr>
            </w:pPr>
            <w:r>
              <w:rPr>
                <w:rFonts w:hint="eastAsia" w:ascii="CESI仿宋-GB2312" w:hAnsi="CESI仿宋-GB2312" w:eastAsia="CESI仿宋-GB2312" w:cs="CESI仿宋-GB2312"/>
                <w:b/>
                <w:kern w:val="0"/>
                <w:sz w:val="28"/>
                <w:szCs w:val="28"/>
              </w:rPr>
              <w:t>返还时间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1</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政府采购履约保证金</w:t>
            </w:r>
          </w:p>
        </w:tc>
        <w:tc>
          <w:tcPr>
            <w:tcW w:w="18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财政部</w:t>
            </w:r>
          </w:p>
        </w:tc>
        <w:tc>
          <w:tcPr>
            <w:tcW w:w="21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《中华人民共和国政府采购法实施条例》</w:t>
            </w:r>
          </w:p>
        </w:tc>
        <w:tc>
          <w:tcPr>
            <w:tcW w:w="21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履约保证金不得超过政府采购合同金额的10％</w:t>
            </w:r>
          </w:p>
        </w:tc>
        <w:tc>
          <w:tcPr>
            <w:tcW w:w="184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采购人、采购代理机构应当允许供应商自主选择以支票、汇票、本票、保函（保险）等非现金形式缴纳或提交保证金</w:t>
            </w:r>
            <w:r>
              <w:rPr>
                <w:rFonts w:hint="eastAsia" w:eastAsia="仿宋" w:cs="Times New Roman"/>
                <w:sz w:val="20"/>
                <w:szCs w:val="20"/>
                <w:vertAlign w:val="baseline"/>
                <w:lang w:val="en-US" w:eastAsia="zh-CN"/>
              </w:rPr>
              <w:t>。</w:t>
            </w:r>
          </w:p>
        </w:tc>
        <w:tc>
          <w:tcPr>
            <w:tcW w:w="197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由中标（成交）供应商与采购人签订采购合同时提交</w:t>
            </w:r>
            <w:r>
              <w:rPr>
                <w:rFonts w:hint="eastAsia" w:eastAsia="仿宋" w:cs="Times New Roman"/>
                <w:sz w:val="20"/>
                <w:szCs w:val="20"/>
                <w:vertAlign w:val="baseline"/>
                <w:lang w:val="en-US" w:eastAsia="zh-CN"/>
              </w:rPr>
              <w:t>。</w:t>
            </w:r>
          </w:p>
        </w:tc>
        <w:tc>
          <w:tcPr>
            <w:tcW w:w="23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color w:val="000000"/>
                <w:sz w:val="20"/>
                <w:szCs w:val="20"/>
                <w:highlight w:val="none"/>
                <w:vertAlign w:val="baseline"/>
                <w:lang w:val="en-US" w:eastAsia="zh-CN"/>
              </w:rPr>
            </w:pPr>
            <w:r>
              <w:rPr>
                <w:rFonts w:hint="default" w:ascii="Times New Roman" w:hAnsi="Times New Roman" w:eastAsia="仿宋" w:cs="Times New Roman"/>
                <w:sz w:val="20"/>
                <w:szCs w:val="20"/>
                <w:vertAlign w:val="baseline"/>
                <w:lang w:val="en-US" w:eastAsia="zh-CN"/>
              </w:rPr>
              <w:t>由采购人根据采购合同约定，待供应商履行完合同约定权利义务事项后退还</w:t>
            </w:r>
            <w:r>
              <w:rPr>
                <w:rFonts w:hint="eastAsia" w:eastAsia="仿宋" w:cs="Times New Roman"/>
                <w:sz w:val="20"/>
                <w:szCs w:val="20"/>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1"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eastAsia" w:eastAsia="仿宋" w:cs="Times New Roman"/>
                <w:sz w:val="20"/>
                <w:szCs w:val="20"/>
                <w:vertAlign w:val="baseline"/>
                <w:lang w:val="en-US" w:eastAsia="zh-CN"/>
              </w:rPr>
              <w:t>2</w:t>
            </w:r>
          </w:p>
        </w:tc>
        <w:tc>
          <w:tcPr>
            <w:tcW w:w="142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6"/>
                <w:sz w:val="20"/>
                <w:szCs w:val="20"/>
                <w:lang w:eastAsia="zh-CN"/>
              </w:rPr>
              <w:t>房屋建筑和市政工程投标保证金</w:t>
            </w:r>
          </w:p>
        </w:tc>
        <w:tc>
          <w:tcPr>
            <w:tcW w:w="1874"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7"/>
                <w:sz w:val="20"/>
                <w:szCs w:val="20"/>
                <w:lang w:eastAsia="zh-CN"/>
              </w:rPr>
              <w:t>发展改革部门、住房城乡建设部门</w:t>
            </w:r>
          </w:p>
        </w:tc>
        <w:tc>
          <w:tcPr>
            <w:tcW w:w="2180"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lang w:eastAsia="zh-CN"/>
              </w:rPr>
            </w:pPr>
            <w:r>
              <w:rPr>
                <w:rFonts w:hint="default" w:ascii="Times New Roman" w:hAnsi="Times New Roman" w:eastAsia="仿宋" w:cs="Times New Roman"/>
                <w:spacing w:val="7"/>
                <w:sz w:val="20"/>
                <w:szCs w:val="20"/>
                <w:lang w:eastAsia="zh-CN"/>
              </w:rPr>
              <w:t>《中华人民共和国招标投标法》</w:t>
            </w:r>
          </w:p>
          <w:p>
            <w:pPr>
              <w:pStyle w:val="7"/>
              <w:keepNext w:val="0"/>
              <w:keepLines w:val="0"/>
              <w:pageBreakBefore w:val="0"/>
              <w:widowControl w:val="0"/>
              <w:kinsoku/>
              <w:wordWrap/>
              <w:overflowPunct/>
              <w:topLinePunct w:val="0"/>
              <w:autoSpaceDE/>
              <w:autoSpaceDN/>
              <w:bidi w:val="0"/>
              <w:adjustRightInd/>
              <w:snapToGrid/>
              <w:spacing w:before="10"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7"/>
                <w:sz w:val="20"/>
                <w:szCs w:val="20"/>
                <w:lang w:eastAsia="zh-CN"/>
              </w:rPr>
              <w:t>《中华人民共和国招标投标法实施条例》</w:t>
            </w:r>
          </w:p>
        </w:tc>
        <w:tc>
          <w:tcPr>
            <w:tcW w:w="214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7"/>
                <w:sz w:val="20"/>
                <w:szCs w:val="20"/>
                <w:lang w:eastAsia="zh-CN"/>
              </w:rPr>
              <w:t>投标保证金不得超过招标项目估算价的2%</w:t>
            </w:r>
          </w:p>
        </w:tc>
        <w:tc>
          <w:tcPr>
            <w:tcW w:w="1842" w:type="dxa"/>
            <w:vAlign w:val="center"/>
          </w:tcPr>
          <w:p>
            <w:pPr>
              <w:pStyle w:val="7"/>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7"/>
                <w:sz w:val="20"/>
                <w:szCs w:val="20"/>
                <w:lang w:eastAsia="zh-CN"/>
              </w:rPr>
              <w:t>鼓励招标人接受担保机构的保函、保险机构的保单等其他非现金交易担保方式缴纳保证金。依法必须招标项目</w:t>
            </w:r>
            <w:r>
              <w:rPr>
                <w:rFonts w:hint="default" w:ascii="Times New Roman" w:hAnsi="Times New Roman" w:eastAsia="仿宋" w:cs="Times New Roman"/>
                <w:spacing w:val="5"/>
                <w:sz w:val="20"/>
                <w:szCs w:val="20"/>
                <w:lang w:eastAsia="zh-CN"/>
              </w:rPr>
              <w:t>的招标人不得强制要求投标人、</w:t>
            </w:r>
            <w:r>
              <w:rPr>
                <w:rFonts w:hint="default" w:ascii="Times New Roman" w:hAnsi="Times New Roman" w:eastAsia="仿宋" w:cs="Times New Roman"/>
                <w:spacing w:val="-19"/>
                <w:sz w:val="20"/>
                <w:szCs w:val="20"/>
                <w:lang w:eastAsia="zh-CN"/>
              </w:rPr>
              <w:t xml:space="preserve"> </w:t>
            </w:r>
            <w:r>
              <w:rPr>
                <w:rFonts w:hint="default" w:ascii="Times New Roman" w:hAnsi="Times New Roman" w:eastAsia="仿宋" w:cs="Times New Roman"/>
                <w:spacing w:val="5"/>
                <w:sz w:val="20"/>
                <w:szCs w:val="20"/>
                <w:lang w:eastAsia="zh-CN"/>
              </w:rPr>
              <w:t>中标</w:t>
            </w:r>
            <w:r>
              <w:rPr>
                <w:rFonts w:hint="default" w:ascii="Times New Roman" w:hAnsi="Times New Roman" w:eastAsia="仿宋" w:cs="Times New Roman"/>
                <w:spacing w:val="6"/>
                <w:sz w:val="20"/>
                <w:szCs w:val="20"/>
                <w:lang w:eastAsia="zh-CN"/>
              </w:rPr>
              <w:t>人缴纳现金保证金。</w:t>
            </w:r>
          </w:p>
        </w:tc>
        <w:tc>
          <w:tcPr>
            <w:tcW w:w="1978"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7"/>
                <w:sz w:val="20"/>
                <w:szCs w:val="20"/>
                <w:lang w:eastAsia="zh-CN"/>
              </w:rPr>
              <w:t>根据招标文件具体要求执行</w:t>
            </w:r>
            <w:r>
              <w:rPr>
                <w:rFonts w:hint="eastAsia" w:ascii="Times New Roman" w:hAnsi="Times New Roman" w:eastAsia="仿宋" w:cs="Times New Roman"/>
                <w:spacing w:val="7"/>
                <w:sz w:val="20"/>
                <w:szCs w:val="20"/>
                <w:lang w:eastAsia="zh-CN"/>
              </w:rPr>
              <w:t>。</w:t>
            </w:r>
          </w:p>
        </w:tc>
        <w:tc>
          <w:tcPr>
            <w:tcW w:w="2374" w:type="dxa"/>
            <w:vAlign w:val="center"/>
          </w:tcPr>
          <w:p>
            <w:pPr>
              <w:pStyle w:val="7"/>
              <w:keepNext w:val="0"/>
              <w:keepLines w:val="0"/>
              <w:pageBreakBefore w:val="0"/>
              <w:widowControl w:val="0"/>
              <w:kinsoku/>
              <w:wordWrap/>
              <w:overflowPunct/>
              <w:topLinePunct w:val="0"/>
              <w:autoSpaceDE/>
              <w:autoSpaceDN/>
              <w:bidi w:val="0"/>
              <w:adjustRightInd/>
              <w:snapToGrid/>
              <w:spacing w:before="105" w:line="300" w:lineRule="exact"/>
              <w:jc w:val="center"/>
              <w:textAlignment w:val="auto"/>
              <w:rPr>
                <w:rFonts w:hint="default" w:ascii="Times New Roman" w:hAnsi="Times New Roman" w:eastAsia="仿宋" w:cs="Times New Roman"/>
                <w:kern w:val="2"/>
                <w:sz w:val="20"/>
                <w:szCs w:val="20"/>
                <w:vertAlign w:val="baseline"/>
                <w:lang w:val="en-US" w:eastAsia="zh-CN" w:bidi="ar-SA"/>
              </w:rPr>
            </w:pPr>
            <w:r>
              <w:rPr>
                <w:rFonts w:hint="default" w:ascii="Times New Roman" w:hAnsi="Times New Roman" w:eastAsia="仿宋" w:cs="Times New Roman"/>
                <w:spacing w:val="9"/>
                <w:sz w:val="20"/>
                <w:szCs w:val="20"/>
                <w:lang w:eastAsia="zh-CN"/>
              </w:rPr>
              <w:t>招标人最迟应当在书面合同签订后5</w:t>
            </w:r>
            <w:r>
              <w:rPr>
                <w:rFonts w:hint="default" w:ascii="Times New Roman" w:hAnsi="Times New Roman" w:eastAsia="仿宋" w:cs="Times New Roman"/>
                <w:spacing w:val="40"/>
                <w:sz w:val="20"/>
                <w:szCs w:val="20"/>
                <w:lang w:eastAsia="zh-CN"/>
              </w:rPr>
              <w:t xml:space="preserve"> </w:t>
            </w:r>
            <w:r>
              <w:rPr>
                <w:rFonts w:hint="default" w:ascii="Times New Roman" w:hAnsi="Times New Roman" w:eastAsia="仿宋" w:cs="Times New Roman"/>
                <w:spacing w:val="9"/>
                <w:sz w:val="20"/>
                <w:szCs w:val="20"/>
                <w:lang w:eastAsia="zh-CN"/>
              </w:rPr>
              <w:t>日内</w:t>
            </w:r>
            <w:r>
              <w:rPr>
                <w:rFonts w:hint="default" w:ascii="Times New Roman" w:hAnsi="Times New Roman" w:eastAsia="仿宋" w:cs="Times New Roman"/>
                <w:spacing w:val="10"/>
                <w:sz w:val="20"/>
                <w:szCs w:val="20"/>
                <w:lang w:eastAsia="zh-CN"/>
              </w:rPr>
              <w:t>向中标人和未中标的投标人退还投标保证金及银行同期存款利息，或投标人在投标截止时间前书面通知招标人撤回投标文件的，招标人应当自收到投标人书面撤回通知之日起5</w:t>
            </w:r>
            <w:r>
              <w:rPr>
                <w:rFonts w:hint="default" w:ascii="Times New Roman" w:hAnsi="Times New Roman" w:eastAsia="仿宋" w:cs="Times New Roman"/>
                <w:spacing w:val="-17"/>
                <w:sz w:val="20"/>
                <w:szCs w:val="20"/>
                <w:lang w:eastAsia="zh-CN"/>
              </w:rPr>
              <w:t xml:space="preserve"> </w:t>
            </w:r>
            <w:r>
              <w:rPr>
                <w:rFonts w:hint="default" w:ascii="Times New Roman" w:hAnsi="Times New Roman" w:eastAsia="仿宋" w:cs="Times New Roman"/>
                <w:spacing w:val="10"/>
                <w:sz w:val="20"/>
                <w:szCs w:val="20"/>
                <w:lang w:val="en-US" w:eastAsia="zh-CN"/>
              </w:rPr>
              <w:t>日</w:t>
            </w:r>
            <w:r>
              <w:rPr>
                <w:rFonts w:hint="default" w:ascii="Times New Roman" w:hAnsi="Times New Roman" w:eastAsia="仿宋" w:cs="Times New Roman"/>
                <w:spacing w:val="10"/>
                <w:sz w:val="20"/>
                <w:szCs w:val="20"/>
                <w:lang w:eastAsia="zh-CN"/>
              </w:rPr>
              <w:t>内退还投标保证金及银行同期存款利息</w:t>
            </w:r>
            <w:r>
              <w:rPr>
                <w:rFonts w:hint="default" w:ascii="Times New Roman" w:hAnsi="Times New Roman" w:eastAsia="仿宋" w:cs="Times New Roman"/>
                <w:position w:val="-1"/>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96"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eastAsia" w:eastAsia="仿宋" w:cs="Times New Roman"/>
                <w:sz w:val="20"/>
                <w:szCs w:val="20"/>
                <w:vertAlign w:val="baseline"/>
                <w:lang w:val="en-US" w:eastAsia="zh-CN"/>
              </w:rPr>
              <w:t>3</w:t>
            </w:r>
          </w:p>
        </w:tc>
        <w:tc>
          <w:tcPr>
            <w:tcW w:w="142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农民工工资保证金（房屋建筑和市政工程领域）</w:t>
            </w:r>
          </w:p>
        </w:tc>
        <w:tc>
          <w:tcPr>
            <w:tcW w:w="1874"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7"/>
                <w:sz w:val="20"/>
                <w:szCs w:val="20"/>
                <w:lang w:eastAsia="zh-CN"/>
              </w:rPr>
              <w:t>人力资源社会保障部</w:t>
            </w:r>
            <w:r>
              <w:rPr>
                <w:rFonts w:hint="default" w:ascii="Times New Roman" w:hAnsi="Times New Roman" w:eastAsia="仿宋" w:cs="Times New Roman"/>
                <w:sz w:val="20"/>
                <w:szCs w:val="20"/>
                <w:lang w:eastAsia="zh-CN"/>
              </w:rPr>
              <w:t>门、</w:t>
            </w:r>
            <w:r>
              <w:rPr>
                <w:rFonts w:hint="default" w:ascii="Times New Roman" w:hAnsi="Times New Roman" w:eastAsia="仿宋" w:cs="Times New Roman"/>
                <w:spacing w:val="7"/>
                <w:sz w:val="20"/>
                <w:szCs w:val="20"/>
                <w:lang w:eastAsia="zh-CN"/>
              </w:rPr>
              <w:t>住房城乡建设部门</w:t>
            </w:r>
          </w:p>
        </w:tc>
        <w:tc>
          <w:tcPr>
            <w:tcW w:w="2180"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lang w:eastAsia="zh-CN"/>
              </w:rPr>
            </w:pPr>
            <w:r>
              <w:rPr>
                <w:rFonts w:hint="default" w:ascii="Times New Roman" w:hAnsi="Times New Roman" w:eastAsia="仿宋" w:cs="Times New Roman"/>
                <w:spacing w:val="7"/>
                <w:sz w:val="20"/>
                <w:szCs w:val="20"/>
                <w:lang w:eastAsia="zh-CN"/>
              </w:rPr>
              <w:t>《国务院关于解决农民工问题的若干意见</w:t>
            </w:r>
            <w:r>
              <w:rPr>
                <w:rFonts w:hint="default" w:ascii="Times New Roman" w:hAnsi="Times New Roman" w:eastAsia="仿宋" w:cs="Times New Roman"/>
                <w:spacing w:val="3"/>
                <w:sz w:val="20"/>
                <w:szCs w:val="20"/>
                <w:lang w:eastAsia="zh-CN"/>
              </w:rPr>
              <w:t>》（</w:t>
            </w:r>
            <w:r>
              <w:rPr>
                <w:rFonts w:hint="default" w:ascii="Times New Roman" w:hAnsi="Times New Roman" w:eastAsia="仿宋" w:cs="Times New Roman"/>
                <w:spacing w:val="-16"/>
                <w:sz w:val="20"/>
                <w:szCs w:val="20"/>
                <w:lang w:eastAsia="zh-CN"/>
              </w:rPr>
              <w:t xml:space="preserve"> </w:t>
            </w:r>
            <w:r>
              <w:rPr>
                <w:rFonts w:hint="default" w:ascii="Times New Roman" w:hAnsi="Times New Roman" w:eastAsia="仿宋" w:cs="Times New Roman"/>
                <w:spacing w:val="3"/>
                <w:sz w:val="20"/>
                <w:szCs w:val="20"/>
                <w:lang w:eastAsia="zh-CN"/>
              </w:rPr>
              <w:t>国发〔2006〕5号）</w:t>
            </w:r>
          </w:p>
          <w:p>
            <w:pPr>
              <w:pStyle w:val="7"/>
              <w:keepNext w:val="0"/>
              <w:keepLines w:val="0"/>
              <w:pageBreakBefore w:val="0"/>
              <w:widowControl w:val="0"/>
              <w:kinsoku/>
              <w:wordWrap/>
              <w:overflowPunct/>
              <w:topLinePunct w:val="0"/>
              <w:autoSpaceDE/>
              <w:autoSpaceDN/>
              <w:bidi w:val="0"/>
              <w:adjustRightInd/>
              <w:snapToGrid/>
              <w:spacing w:before="2" w:line="300" w:lineRule="exact"/>
              <w:jc w:val="center"/>
              <w:textAlignment w:val="auto"/>
              <w:rPr>
                <w:rFonts w:hint="default" w:ascii="Times New Roman" w:hAnsi="Times New Roman" w:eastAsia="仿宋" w:cs="Times New Roman"/>
                <w:sz w:val="20"/>
                <w:szCs w:val="20"/>
                <w:lang w:eastAsia="zh-CN"/>
              </w:rPr>
            </w:pPr>
            <w:r>
              <w:rPr>
                <w:rFonts w:hint="default" w:ascii="Times New Roman" w:hAnsi="Times New Roman" w:eastAsia="仿宋" w:cs="Times New Roman"/>
                <w:spacing w:val="7"/>
                <w:sz w:val="20"/>
                <w:szCs w:val="20"/>
                <w:lang w:eastAsia="zh-CN"/>
              </w:rPr>
              <w:t>《国务院办公厅转发解决企业工资拖欠问题部际联席会议关于推进企业解决工资拖</w:t>
            </w:r>
            <w:r>
              <w:rPr>
                <w:rFonts w:hint="default" w:ascii="Times New Roman" w:hAnsi="Times New Roman" w:eastAsia="仿宋" w:cs="Times New Roman"/>
                <w:spacing w:val="3"/>
                <w:sz w:val="20"/>
                <w:szCs w:val="20"/>
                <w:lang w:eastAsia="zh-CN"/>
              </w:rPr>
              <w:t>欠问题若干意见的通知》（国办发〔2006</w:t>
            </w:r>
            <w:r>
              <w:rPr>
                <w:rFonts w:hint="default" w:ascii="Times New Roman" w:hAnsi="Times New Roman" w:eastAsia="仿宋" w:cs="Times New Roman"/>
                <w:spacing w:val="4"/>
                <w:sz w:val="20"/>
                <w:szCs w:val="20"/>
                <w:lang w:eastAsia="zh-CN"/>
              </w:rPr>
              <w:t>〕91号）</w:t>
            </w:r>
          </w:p>
          <w:p>
            <w:pPr>
              <w:pStyle w:val="7"/>
              <w:keepNext w:val="0"/>
              <w:keepLines w:val="0"/>
              <w:pageBreakBefore w:val="0"/>
              <w:widowControl w:val="0"/>
              <w:kinsoku/>
              <w:wordWrap/>
              <w:overflowPunct/>
              <w:topLinePunct w:val="0"/>
              <w:autoSpaceDE/>
              <w:autoSpaceDN/>
              <w:bidi w:val="0"/>
              <w:adjustRightInd/>
              <w:snapToGrid/>
              <w:spacing w:before="2"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7"/>
                <w:sz w:val="20"/>
                <w:szCs w:val="20"/>
                <w:lang w:eastAsia="zh-CN"/>
              </w:rPr>
              <w:t>《国务院办公厅关于全面治理拖欠农民工</w:t>
            </w:r>
            <w:r>
              <w:rPr>
                <w:rFonts w:hint="default" w:ascii="Times New Roman" w:hAnsi="Times New Roman" w:eastAsia="仿宋" w:cs="Times New Roman"/>
                <w:spacing w:val="5"/>
                <w:sz w:val="20"/>
                <w:szCs w:val="20"/>
                <w:lang w:eastAsia="zh-CN"/>
              </w:rPr>
              <w:t>工资问题的意见》（</w:t>
            </w:r>
            <w:r>
              <w:rPr>
                <w:rFonts w:hint="default" w:ascii="Times New Roman" w:hAnsi="Times New Roman" w:eastAsia="仿宋" w:cs="Times New Roman"/>
                <w:spacing w:val="-25"/>
                <w:sz w:val="20"/>
                <w:szCs w:val="20"/>
                <w:lang w:eastAsia="zh-CN"/>
              </w:rPr>
              <w:t xml:space="preserve"> </w:t>
            </w:r>
            <w:r>
              <w:rPr>
                <w:rFonts w:hint="default" w:ascii="Times New Roman" w:hAnsi="Times New Roman" w:eastAsia="仿宋" w:cs="Times New Roman"/>
                <w:spacing w:val="5"/>
                <w:sz w:val="20"/>
                <w:szCs w:val="20"/>
                <w:lang w:eastAsia="zh-CN"/>
              </w:rPr>
              <w:t>国办发〔2016〕1号）</w:t>
            </w:r>
            <w:r>
              <w:rPr>
                <w:rFonts w:hint="default" w:ascii="Times New Roman" w:hAnsi="Times New Roman" w:eastAsia="仿宋" w:cs="Times New Roman"/>
                <w:spacing w:val="7"/>
                <w:sz w:val="20"/>
                <w:szCs w:val="20"/>
                <w:lang w:eastAsia="zh-CN"/>
              </w:rPr>
              <w:t>《国务院办公厅关于清理规范工程建设领</w:t>
            </w:r>
            <w:r>
              <w:rPr>
                <w:rFonts w:hint="default" w:ascii="Times New Roman" w:hAnsi="Times New Roman" w:eastAsia="仿宋" w:cs="Times New Roman"/>
                <w:spacing w:val="4"/>
                <w:sz w:val="20"/>
                <w:szCs w:val="20"/>
                <w:lang w:eastAsia="zh-CN"/>
              </w:rPr>
              <w:t>域保证金的通知》（国办〔2016〕49号）</w:t>
            </w:r>
            <w:r>
              <w:rPr>
                <w:rFonts w:hint="default" w:ascii="Times New Roman" w:hAnsi="Times New Roman" w:eastAsia="仿宋" w:cs="Times New Roman"/>
                <w:spacing w:val="5"/>
                <w:sz w:val="20"/>
                <w:szCs w:val="20"/>
                <w:lang w:eastAsia="zh-CN"/>
              </w:rPr>
              <w:t>《保障农民工工资支付条例》（国务院令</w:t>
            </w:r>
            <w:r>
              <w:rPr>
                <w:rFonts w:hint="default" w:ascii="Times New Roman" w:hAnsi="Times New Roman" w:eastAsia="仿宋" w:cs="Times New Roman"/>
                <w:spacing w:val="4"/>
                <w:sz w:val="20"/>
                <w:szCs w:val="20"/>
                <w:lang w:eastAsia="zh-CN"/>
              </w:rPr>
              <w:t>第724号）</w:t>
            </w:r>
          </w:p>
        </w:tc>
        <w:tc>
          <w:tcPr>
            <w:tcW w:w="21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7"/>
                <w:sz w:val="20"/>
                <w:szCs w:val="20"/>
                <w:lang w:eastAsia="zh-CN"/>
              </w:rPr>
              <w:t>工资保证金按工程施工合同额（或年度合同额）的一定比例存储 ， 原则上不低于1%，不超过3%。具体存储比例及浮动办法由省级人力资源社会保障行政部门商同级行业工程建设主管部门研究确定。工资保证金存储比例应根据本行政区保障农民工工资支付实际情况实行定期动态调整；在工资保证金管理地区承建工程连续2年未发生工资拖欠的，其新增工程应降低存储比例，降幅不低于50%；连续3年未发生工资拖欠且按要求落实用工实名制管理和农民工工资专用账户制度的，其新增工程可免于存储工资保证金。</w:t>
            </w:r>
          </w:p>
        </w:tc>
        <w:tc>
          <w:tcPr>
            <w:tcW w:w="1842"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7"/>
                <w:sz w:val="20"/>
                <w:szCs w:val="20"/>
                <w:lang w:eastAsia="zh-CN"/>
              </w:rPr>
              <w:t>施</w:t>
            </w:r>
            <w:r>
              <w:rPr>
                <w:rFonts w:hint="default" w:ascii="Times New Roman" w:hAnsi="Times New Roman" w:eastAsia="仿宋" w:cs="Times New Roman"/>
                <w:spacing w:val="-32"/>
                <w:sz w:val="20"/>
                <w:szCs w:val="20"/>
                <w:lang w:eastAsia="zh-CN"/>
              </w:rPr>
              <w:t xml:space="preserve"> </w:t>
            </w:r>
            <w:r>
              <w:rPr>
                <w:rFonts w:hint="default" w:ascii="Times New Roman" w:hAnsi="Times New Roman" w:eastAsia="仿宋" w:cs="Times New Roman"/>
                <w:spacing w:val="7"/>
                <w:sz w:val="20"/>
                <w:szCs w:val="20"/>
                <w:lang w:eastAsia="zh-CN"/>
              </w:rPr>
              <w:t>工</w:t>
            </w:r>
            <w:r>
              <w:rPr>
                <w:rFonts w:hint="default" w:ascii="Times New Roman" w:hAnsi="Times New Roman" w:eastAsia="仿宋" w:cs="Times New Roman"/>
                <w:spacing w:val="-28"/>
                <w:sz w:val="20"/>
                <w:szCs w:val="20"/>
                <w:lang w:eastAsia="zh-CN"/>
              </w:rPr>
              <w:t xml:space="preserve"> </w:t>
            </w:r>
            <w:r>
              <w:rPr>
                <w:rFonts w:hint="default" w:ascii="Times New Roman" w:hAnsi="Times New Roman" w:eastAsia="仿宋" w:cs="Times New Roman"/>
                <w:spacing w:val="7"/>
                <w:sz w:val="20"/>
                <w:szCs w:val="20"/>
                <w:lang w:eastAsia="zh-CN"/>
              </w:rPr>
              <w:t>总</w:t>
            </w:r>
            <w:r>
              <w:rPr>
                <w:rFonts w:hint="default" w:ascii="Times New Roman" w:hAnsi="Times New Roman" w:eastAsia="仿宋" w:cs="Times New Roman"/>
                <w:spacing w:val="-35"/>
                <w:sz w:val="20"/>
                <w:szCs w:val="20"/>
                <w:lang w:eastAsia="zh-CN"/>
              </w:rPr>
              <w:t xml:space="preserve"> </w:t>
            </w:r>
            <w:r>
              <w:rPr>
                <w:rFonts w:hint="default" w:ascii="Times New Roman" w:hAnsi="Times New Roman" w:eastAsia="仿宋" w:cs="Times New Roman"/>
                <w:spacing w:val="7"/>
                <w:sz w:val="20"/>
                <w:szCs w:val="20"/>
                <w:lang w:eastAsia="zh-CN"/>
              </w:rPr>
              <w:t>承包</w:t>
            </w:r>
            <w:r>
              <w:rPr>
                <w:rFonts w:hint="default" w:ascii="Times New Roman" w:hAnsi="Times New Roman" w:eastAsia="仿宋" w:cs="Times New Roman"/>
                <w:spacing w:val="-34"/>
                <w:sz w:val="20"/>
                <w:szCs w:val="20"/>
                <w:lang w:eastAsia="zh-CN"/>
              </w:rPr>
              <w:t xml:space="preserve"> </w:t>
            </w:r>
            <w:r>
              <w:rPr>
                <w:rFonts w:hint="default" w:ascii="Times New Roman" w:hAnsi="Times New Roman" w:eastAsia="仿宋" w:cs="Times New Roman"/>
                <w:spacing w:val="7"/>
                <w:sz w:val="20"/>
                <w:szCs w:val="20"/>
                <w:lang w:eastAsia="zh-CN"/>
              </w:rPr>
              <w:t>单位</w:t>
            </w:r>
            <w:r>
              <w:rPr>
                <w:rFonts w:hint="default" w:ascii="Times New Roman" w:hAnsi="Times New Roman" w:eastAsia="仿宋" w:cs="Times New Roman"/>
                <w:spacing w:val="-31"/>
                <w:sz w:val="20"/>
                <w:szCs w:val="20"/>
                <w:lang w:eastAsia="zh-CN"/>
              </w:rPr>
              <w:t xml:space="preserve"> </w:t>
            </w:r>
            <w:r>
              <w:rPr>
                <w:rFonts w:hint="default" w:ascii="Times New Roman" w:hAnsi="Times New Roman" w:eastAsia="仿宋" w:cs="Times New Roman"/>
                <w:spacing w:val="7"/>
                <w:sz w:val="20"/>
                <w:szCs w:val="20"/>
                <w:lang w:eastAsia="zh-CN"/>
              </w:rPr>
              <w:t>可</w:t>
            </w:r>
            <w:r>
              <w:rPr>
                <w:rFonts w:hint="default" w:ascii="Times New Roman" w:hAnsi="Times New Roman" w:eastAsia="仿宋" w:cs="Times New Roman"/>
                <w:spacing w:val="-35"/>
                <w:sz w:val="20"/>
                <w:szCs w:val="20"/>
                <w:lang w:eastAsia="zh-CN"/>
              </w:rPr>
              <w:t xml:space="preserve"> </w:t>
            </w:r>
            <w:r>
              <w:rPr>
                <w:rFonts w:hint="default" w:ascii="Times New Roman" w:hAnsi="Times New Roman" w:eastAsia="仿宋" w:cs="Times New Roman"/>
                <w:spacing w:val="7"/>
                <w:sz w:val="20"/>
                <w:szCs w:val="20"/>
                <w:lang w:eastAsia="zh-CN"/>
              </w:rPr>
              <w:t>选</w:t>
            </w:r>
            <w:r>
              <w:rPr>
                <w:rFonts w:hint="default" w:ascii="Times New Roman" w:hAnsi="Times New Roman" w:eastAsia="仿宋" w:cs="Times New Roman"/>
                <w:spacing w:val="-35"/>
                <w:sz w:val="20"/>
                <w:szCs w:val="20"/>
                <w:lang w:eastAsia="zh-CN"/>
              </w:rPr>
              <w:t xml:space="preserve"> </w:t>
            </w:r>
            <w:r>
              <w:rPr>
                <w:rFonts w:hint="default" w:ascii="Times New Roman" w:hAnsi="Times New Roman" w:eastAsia="仿宋" w:cs="Times New Roman"/>
                <w:spacing w:val="7"/>
                <w:sz w:val="20"/>
                <w:szCs w:val="20"/>
                <w:lang w:eastAsia="zh-CN"/>
              </w:rPr>
              <w:t>择</w:t>
            </w:r>
            <w:r>
              <w:rPr>
                <w:rFonts w:hint="default" w:ascii="Times New Roman" w:hAnsi="Times New Roman" w:eastAsia="仿宋" w:cs="Times New Roman"/>
                <w:spacing w:val="-19"/>
                <w:sz w:val="20"/>
                <w:szCs w:val="20"/>
                <w:lang w:eastAsia="zh-CN"/>
              </w:rPr>
              <w:t xml:space="preserve"> </w:t>
            </w:r>
            <w:r>
              <w:rPr>
                <w:rFonts w:hint="default" w:ascii="Times New Roman" w:hAnsi="Times New Roman" w:eastAsia="仿宋" w:cs="Times New Roman"/>
                <w:spacing w:val="7"/>
                <w:sz w:val="20"/>
                <w:szCs w:val="20"/>
                <w:lang w:eastAsia="zh-CN"/>
              </w:rPr>
              <w:t>以银</w:t>
            </w:r>
            <w:r>
              <w:rPr>
                <w:rFonts w:hint="default" w:ascii="Times New Roman" w:hAnsi="Times New Roman" w:eastAsia="仿宋" w:cs="Times New Roman"/>
                <w:spacing w:val="-36"/>
                <w:sz w:val="20"/>
                <w:szCs w:val="20"/>
                <w:lang w:eastAsia="zh-CN"/>
              </w:rPr>
              <w:t xml:space="preserve"> </w:t>
            </w:r>
            <w:r>
              <w:rPr>
                <w:rFonts w:hint="default" w:ascii="Times New Roman" w:hAnsi="Times New Roman" w:eastAsia="仿宋" w:cs="Times New Roman"/>
                <w:spacing w:val="7"/>
                <w:sz w:val="20"/>
                <w:szCs w:val="20"/>
                <w:lang w:eastAsia="zh-CN"/>
              </w:rPr>
              <w:t>行保函</w:t>
            </w:r>
            <w:r>
              <w:rPr>
                <w:rFonts w:hint="default" w:ascii="Times New Roman" w:hAnsi="Times New Roman" w:eastAsia="仿宋" w:cs="Times New Roman"/>
                <w:spacing w:val="12"/>
                <w:sz w:val="20"/>
                <w:szCs w:val="20"/>
                <w:lang w:eastAsia="zh-CN"/>
              </w:rPr>
              <w:t>（保险）替代现金存储工资保证金。</w:t>
            </w:r>
            <w:r>
              <w:rPr>
                <w:rFonts w:hint="default" w:ascii="Times New Roman" w:hAnsi="Times New Roman" w:eastAsia="仿宋" w:cs="Times New Roman"/>
                <w:spacing w:val="10"/>
                <w:sz w:val="20"/>
                <w:szCs w:val="20"/>
                <w:lang w:eastAsia="zh-CN"/>
              </w:rPr>
              <w:t>采用工程担保公司保函（保险）或工</w:t>
            </w:r>
            <w:r>
              <w:rPr>
                <w:rFonts w:hint="default" w:ascii="Times New Roman" w:hAnsi="Times New Roman" w:eastAsia="仿宋" w:cs="Times New Roman"/>
                <w:spacing w:val="13"/>
                <w:sz w:val="20"/>
                <w:szCs w:val="20"/>
                <w:lang w:eastAsia="zh-CN"/>
              </w:rPr>
              <w:t>程保证保险方式代替工资保证金的</w:t>
            </w:r>
            <w:r>
              <w:rPr>
                <w:rFonts w:hint="default" w:ascii="Times New Roman" w:hAnsi="Times New Roman" w:eastAsia="仿宋" w:cs="Times New Roman"/>
                <w:spacing w:val="-26"/>
                <w:sz w:val="20"/>
                <w:szCs w:val="20"/>
                <w:lang w:eastAsia="zh-CN"/>
              </w:rPr>
              <w:t xml:space="preserve"> </w:t>
            </w:r>
            <w:r>
              <w:rPr>
                <w:rFonts w:hint="default" w:ascii="Times New Roman" w:hAnsi="Times New Roman" w:eastAsia="仿宋" w:cs="Times New Roman"/>
                <w:spacing w:val="13"/>
                <w:sz w:val="20"/>
                <w:szCs w:val="20"/>
                <w:lang w:eastAsia="zh-CN"/>
              </w:rPr>
              <w:t>，</w:t>
            </w:r>
            <w:r>
              <w:rPr>
                <w:rFonts w:hint="default" w:ascii="Times New Roman" w:hAnsi="Times New Roman" w:eastAsia="仿宋" w:cs="Times New Roman"/>
                <w:spacing w:val="11"/>
                <w:sz w:val="20"/>
                <w:szCs w:val="20"/>
                <w:lang w:eastAsia="zh-CN"/>
              </w:rPr>
              <w:t>参照银行保函（保险</w:t>
            </w:r>
            <w:r>
              <w:rPr>
                <w:rFonts w:hint="default" w:ascii="Times New Roman" w:hAnsi="Times New Roman" w:eastAsia="仿宋" w:cs="Times New Roman"/>
                <w:spacing w:val="-35"/>
                <w:sz w:val="20"/>
                <w:szCs w:val="20"/>
                <w:lang w:eastAsia="zh-CN"/>
              </w:rPr>
              <w:t xml:space="preserve"> </w:t>
            </w:r>
            <w:r>
              <w:rPr>
                <w:rFonts w:hint="default" w:ascii="Times New Roman" w:hAnsi="Times New Roman" w:eastAsia="仿宋" w:cs="Times New Roman"/>
                <w:spacing w:val="11"/>
                <w:sz w:val="20"/>
                <w:szCs w:val="20"/>
                <w:lang w:eastAsia="zh-CN"/>
              </w:rPr>
              <w:t>）的相关规定执</w:t>
            </w:r>
            <w:r>
              <w:rPr>
                <w:rFonts w:hint="default" w:ascii="Times New Roman" w:hAnsi="Times New Roman" w:eastAsia="仿宋" w:cs="Times New Roman"/>
                <w:spacing w:val="1"/>
                <w:sz w:val="20"/>
                <w:szCs w:val="20"/>
                <w:lang w:eastAsia="zh-CN"/>
              </w:rPr>
              <w:t>行。</w:t>
            </w:r>
          </w:p>
        </w:tc>
        <w:tc>
          <w:tcPr>
            <w:tcW w:w="197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7"/>
                <w:sz w:val="20"/>
                <w:szCs w:val="20"/>
                <w:lang w:eastAsia="zh-CN"/>
              </w:rPr>
              <w:t>施工总承包单位应当自工程取得施工许可证（开工报告批复）之 日起 20个工作日 内（依法不需要办理施工许可证或批准开工报告的工程自签订施工合同之日起20个工作日之内） ，持营业执照副本、 与建设单位签订的施工合同在经办银行开立工资保证金专门账户存储工资保证金。</w:t>
            </w:r>
          </w:p>
        </w:tc>
        <w:tc>
          <w:tcPr>
            <w:tcW w:w="23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7"/>
                <w:sz w:val="20"/>
                <w:szCs w:val="20"/>
                <w:lang w:eastAsia="zh-CN"/>
              </w:rPr>
              <w:t>工资保证金对应的工程完工，施工总承包单位作出书面承诺该工程不存在未解决的拖欠农民工工资问题，并在施工现场维权信息告示牌及属地人力资源社会保障行政部门门户网站公示 30日后，可以申请返还工资保证金或银行保函（保险）正本。属地人力资源社会保障行政部门应建立工资保证金定期（至少每半年一次）清查机制，对经核实工程完工且不存在拖欠农民工工资问题，施工总承包单位在一定期限内末提交返还申请的，应主动启动返还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4"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4</w:t>
            </w:r>
          </w:p>
        </w:tc>
        <w:tc>
          <w:tcPr>
            <w:tcW w:w="142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房屋建筑和市政工程履约保证金</w:t>
            </w:r>
          </w:p>
        </w:tc>
        <w:tc>
          <w:tcPr>
            <w:tcW w:w="1874"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发展改革部门、住房城乡建设部门</w:t>
            </w:r>
          </w:p>
        </w:tc>
        <w:tc>
          <w:tcPr>
            <w:tcW w:w="2180"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pacing w:val="6"/>
                <w:sz w:val="20"/>
                <w:szCs w:val="20"/>
                <w:lang w:eastAsia="zh-CN"/>
              </w:rPr>
              <w:t>《中华人民共和国招标投标法》</w:t>
            </w:r>
          </w:p>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《中华人民共和国招标投标法实施条例》</w:t>
            </w:r>
          </w:p>
        </w:tc>
        <w:tc>
          <w:tcPr>
            <w:tcW w:w="214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pacing w:val="6"/>
                <w:sz w:val="20"/>
                <w:szCs w:val="20"/>
                <w:lang w:eastAsia="zh-CN"/>
              </w:rPr>
              <w:t>履约保证金不得超过中标合同金额的10%</w:t>
            </w:r>
          </w:p>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p>
        </w:tc>
        <w:tc>
          <w:tcPr>
            <w:tcW w:w="1842"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鼓励招标人接受担保机构的保函、保险机构的保单等其他非现金交易担保方式缴纳保证金。依法必须招标项目的招标人不得强制要求投标人、 中标人缴纳现金保证金</w:t>
            </w:r>
            <w:r>
              <w:rPr>
                <w:rFonts w:hint="eastAsia" w:eastAsia="仿宋" w:cs="Times New Roman"/>
                <w:spacing w:val="6"/>
                <w:sz w:val="20"/>
                <w:szCs w:val="20"/>
                <w:lang w:eastAsia="zh-CN"/>
              </w:rPr>
              <w:t>。</w:t>
            </w:r>
          </w:p>
        </w:tc>
        <w:tc>
          <w:tcPr>
            <w:tcW w:w="1978"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根据招标文件具体要求执行</w:t>
            </w:r>
          </w:p>
        </w:tc>
        <w:tc>
          <w:tcPr>
            <w:tcW w:w="2374"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根据中标合同约定，待中标人履行完合同约定权利义务事项后退还。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3"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5</w:t>
            </w:r>
          </w:p>
        </w:tc>
        <w:tc>
          <w:tcPr>
            <w:tcW w:w="142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工程质量保证金</w:t>
            </w:r>
          </w:p>
        </w:tc>
        <w:tc>
          <w:tcPr>
            <w:tcW w:w="1874"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pacing w:val="6"/>
                <w:sz w:val="20"/>
                <w:szCs w:val="20"/>
                <w:lang w:eastAsia="zh-CN"/>
              </w:rPr>
              <w:t>住房城乡建设部、</w:t>
            </w:r>
          </w:p>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财政部</w:t>
            </w:r>
          </w:p>
        </w:tc>
        <w:tc>
          <w:tcPr>
            <w:tcW w:w="2180"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《建筑法》《国务院办公厅关于清理规范工程建设领域保证金的通知》（国办〔 2016〕49号）住房城乡建设部、财政部《关于印发建设工程质量保证金管理办法的通知》（建质〔 2017〕138号）</w:t>
            </w:r>
          </w:p>
        </w:tc>
        <w:tc>
          <w:tcPr>
            <w:tcW w:w="2145"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rPr>
              <w:t>保证金预留比例由发承包双方自行约定，但不得高于工程价款结算总额的3%</w:t>
            </w:r>
          </w:p>
        </w:tc>
        <w:tc>
          <w:tcPr>
            <w:tcW w:w="1842"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承包人可以使用银行保函（保险）替代现金保证金</w:t>
            </w:r>
          </w:p>
        </w:tc>
        <w:tc>
          <w:tcPr>
            <w:tcW w:w="1978"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发包人与承包人在建设工程承包合同中约定，从应付的工程款中预留，可以银行保函（保险）方式替代工程质量保证金，采用工程质量担保、工程质量保险等其他保证方式的不得预留工程质量保证金。承包人缴纳履约保证金的，发包人不得同时预留工程质量保证金。</w:t>
            </w:r>
          </w:p>
        </w:tc>
        <w:tc>
          <w:tcPr>
            <w:tcW w:w="2374" w:type="dxa"/>
            <w:vAlign w:val="center"/>
          </w:tcPr>
          <w:p>
            <w:pPr>
              <w:pStyle w:val="7"/>
              <w:keepNext w:val="0"/>
              <w:keepLines w:val="0"/>
              <w:pageBreakBefore w:val="0"/>
              <w:widowControl w:val="0"/>
              <w:kinsoku/>
              <w:wordWrap/>
              <w:overflowPunct/>
              <w:topLinePunct w:val="0"/>
              <w:autoSpaceDE/>
              <w:autoSpaceDN/>
              <w:bidi w:val="0"/>
              <w:adjustRightInd/>
              <w:snapToGrid/>
              <w:spacing w:before="39"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pacing w:val="6"/>
                <w:sz w:val="20"/>
                <w:szCs w:val="20"/>
                <w:lang w:eastAsia="zh-CN"/>
              </w:rPr>
              <w:t>缺陷责任期结束后，可向发包人提出返还保证金申请。发包人在接到承包人返还保证金申请后，应于14天内会同承包人按照合同约定的内容进行核实。如无异议，发包人应当按照约定将保证金返还给承包人。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3"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6</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z w:val="20"/>
                <w:szCs w:val="20"/>
                <w:vertAlign w:val="baseline"/>
                <w:lang w:eastAsia="zh-CN"/>
              </w:rPr>
              <w:t>对外承包工程单位备用金</w:t>
            </w:r>
          </w:p>
        </w:tc>
        <w:tc>
          <w:tcPr>
            <w:tcW w:w="18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z w:val="20"/>
                <w:szCs w:val="20"/>
                <w:vertAlign w:val="baseline"/>
                <w:lang w:eastAsia="zh-CN"/>
              </w:rPr>
              <w:t>商务部</w:t>
            </w:r>
          </w:p>
        </w:tc>
        <w:tc>
          <w:tcPr>
            <w:tcW w:w="21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z w:val="20"/>
                <w:szCs w:val="20"/>
                <w:vertAlign w:val="baseline"/>
                <w:lang w:eastAsia="zh-CN"/>
              </w:rPr>
              <w:t>《对外承包工程管理条例》、</w:t>
            </w:r>
            <w:r>
              <w:rPr>
                <w:rFonts w:hint="default" w:ascii="Times New Roman" w:hAnsi="Times New Roman" w:eastAsia="仿宋" w:cs="Times New Roman"/>
                <w:sz w:val="20"/>
                <w:szCs w:val="20"/>
                <w:vertAlign w:val="baseline"/>
                <w:lang w:val="en-US" w:eastAsia="zh-CN"/>
              </w:rPr>
              <w:t xml:space="preserve"> </w:t>
            </w:r>
            <w:r>
              <w:rPr>
                <w:rFonts w:hint="default" w:ascii="Times New Roman" w:hAnsi="Times New Roman" w:eastAsia="仿宋" w:cs="Times New Roman"/>
                <w:sz w:val="20"/>
                <w:szCs w:val="20"/>
                <w:vertAlign w:val="baseline"/>
                <w:lang w:eastAsia="zh-CN"/>
              </w:rPr>
              <w:t>《对外劳务合作风险处置备用管理办法</w:t>
            </w:r>
            <w:r>
              <w:rPr>
                <w:rFonts w:hint="eastAsia" w:eastAsia="仿宋" w:cs="Times New Roman"/>
                <w:sz w:val="20"/>
                <w:szCs w:val="20"/>
                <w:vertAlign w:val="baseline"/>
                <w:lang w:eastAsia="zh-CN"/>
              </w:rPr>
              <w:t>（</w:t>
            </w:r>
            <w:r>
              <w:rPr>
                <w:rFonts w:hint="default" w:ascii="Times New Roman" w:hAnsi="Times New Roman" w:eastAsia="仿宋" w:cs="Times New Roman"/>
                <w:sz w:val="20"/>
                <w:szCs w:val="20"/>
                <w:vertAlign w:val="baseline"/>
                <w:lang w:eastAsia="zh-CN"/>
              </w:rPr>
              <w:t>试行</w:t>
            </w:r>
            <w:r>
              <w:rPr>
                <w:rFonts w:hint="eastAsia" w:eastAsia="仿宋" w:cs="Times New Roman"/>
                <w:sz w:val="20"/>
                <w:szCs w:val="20"/>
                <w:vertAlign w:val="baseline"/>
                <w:lang w:eastAsia="zh-CN"/>
              </w:rPr>
              <w:t>）</w:t>
            </w:r>
            <w:r>
              <w:rPr>
                <w:rFonts w:hint="default" w:ascii="Times New Roman" w:hAnsi="Times New Roman" w:eastAsia="仿宋" w:cs="Times New Roman"/>
                <w:sz w:val="20"/>
                <w:szCs w:val="20"/>
                <w:vertAlign w:val="baseline"/>
                <w:lang w:eastAsia="zh-CN"/>
              </w:rPr>
              <w:t>》</w:t>
            </w:r>
            <w:r>
              <w:rPr>
                <w:rFonts w:hint="eastAsia" w:eastAsia="仿宋" w:cs="Times New Roman"/>
                <w:sz w:val="20"/>
                <w:szCs w:val="20"/>
                <w:vertAlign w:val="baseline"/>
                <w:lang w:eastAsia="zh-CN"/>
              </w:rPr>
              <w:t>（</w:t>
            </w:r>
            <w:r>
              <w:rPr>
                <w:rFonts w:hint="default" w:ascii="Times New Roman" w:hAnsi="Times New Roman" w:eastAsia="仿宋" w:cs="Times New Roman"/>
                <w:sz w:val="20"/>
                <w:szCs w:val="20"/>
                <w:vertAlign w:val="baseline"/>
                <w:lang w:eastAsia="zh-CN"/>
              </w:rPr>
              <w:t>(商务部、财政部令2014年第2号</w:t>
            </w:r>
            <w:r>
              <w:rPr>
                <w:rFonts w:hint="eastAsia" w:eastAsia="仿宋" w:cs="Times New Roman"/>
                <w:sz w:val="20"/>
                <w:szCs w:val="20"/>
                <w:vertAlign w:val="baseline"/>
                <w:lang w:eastAsia="zh-CN"/>
              </w:rPr>
              <w:t>）</w:t>
            </w:r>
          </w:p>
        </w:tc>
        <w:tc>
          <w:tcPr>
            <w:tcW w:w="21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rPr>
            </w:pPr>
            <w:r>
              <w:rPr>
                <w:rFonts w:hint="default" w:ascii="Times New Roman" w:hAnsi="Times New Roman" w:eastAsia="仿宋" w:cs="Times New Roman"/>
                <w:sz w:val="20"/>
                <w:szCs w:val="20"/>
                <w:vertAlign w:val="baseline"/>
                <w:lang w:eastAsia="zh-CN"/>
              </w:rPr>
              <w:t>对外承包工程单位备用金缴存标准为人民币300万元</w:t>
            </w:r>
          </w:p>
        </w:tc>
        <w:tc>
          <w:tcPr>
            <w:tcW w:w="184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z w:val="20"/>
                <w:szCs w:val="20"/>
                <w:vertAlign w:val="baseline"/>
                <w:lang w:eastAsia="zh-CN"/>
              </w:rPr>
              <w:t>可以现金或等额银行保函形式缴存</w:t>
            </w:r>
          </w:p>
        </w:tc>
        <w:tc>
          <w:tcPr>
            <w:tcW w:w="197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z w:val="20"/>
                <w:szCs w:val="20"/>
                <w:vertAlign w:val="baseline"/>
                <w:lang w:eastAsia="zh-CN"/>
              </w:rPr>
              <w:t>对外承包工程的单位应当自收到中标文件或签署项目商务合同后15个工作日内,在注册地省级商务主管部门指定的银行缴存备用金。</w:t>
            </w:r>
          </w:p>
        </w:tc>
        <w:tc>
          <w:tcPr>
            <w:tcW w:w="23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pacing w:val="6"/>
                <w:sz w:val="20"/>
                <w:szCs w:val="20"/>
                <w:lang w:eastAsia="zh-CN"/>
              </w:rPr>
            </w:pPr>
            <w:r>
              <w:rPr>
                <w:rFonts w:hint="default" w:ascii="Times New Roman" w:hAnsi="Times New Roman" w:eastAsia="仿宋" w:cs="Times New Roman"/>
                <w:sz w:val="20"/>
                <w:szCs w:val="20"/>
                <w:vertAlign w:val="baseline"/>
                <w:lang w:eastAsia="zh-CN"/>
              </w:rPr>
              <w:t>对外承包工程企业停止开展对外承包工程的,应当对其派出的尚在国外工作的劳务人员作出妥善安排,并将安排方案连同两年内有效的备用金缴存凭证或者保函报商务主管部门备案。对外承包工程企业自备案之日起两年内未发生针对其的劳务纠纷投诉或者诉讼的,可退还缴存的备用金或允许其撤销保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5" w:hRule="exact"/>
          <w:jc w:val="center"/>
        </w:trPr>
        <w:tc>
          <w:tcPr>
            <w:tcW w:w="90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7</w:t>
            </w:r>
          </w:p>
        </w:tc>
        <w:tc>
          <w:tcPr>
            <w:tcW w:w="142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旅游服务质量保证金</w:t>
            </w:r>
          </w:p>
        </w:tc>
        <w:tc>
          <w:tcPr>
            <w:tcW w:w="18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文化和旅游部</w:t>
            </w:r>
          </w:p>
        </w:tc>
        <w:tc>
          <w:tcPr>
            <w:tcW w:w="21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eastAsia="zh-CN"/>
              </w:rPr>
              <w:t>《</w:t>
            </w:r>
            <w:r>
              <w:rPr>
                <w:rFonts w:hint="default" w:ascii="Times New Roman" w:hAnsi="Times New Roman" w:eastAsia="仿宋" w:cs="Times New Roman"/>
                <w:sz w:val="20"/>
                <w:szCs w:val="20"/>
                <w:vertAlign w:val="baseline"/>
                <w:lang w:val="en-US" w:eastAsia="zh-CN"/>
              </w:rPr>
              <w:t>中华人民共和国旅游法》《旅行社条例》</w:t>
            </w:r>
          </w:p>
        </w:tc>
        <w:tc>
          <w:tcPr>
            <w:tcW w:w="214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经营国内旅游业务和入境旅游业务的旅行社，应当存入保证金20万元；经营出境旅游业务的旅行社，应当增存保证金120万元。旅行社每设立一个经营国内旅游业务和入境旅游业务的分社，应当向其保证金账户增存5万元；每设立一个经营出境旅游业务的分社，应当向其保证金账户增存30万元。</w:t>
            </w:r>
          </w:p>
        </w:tc>
        <w:tc>
          <w:tcPr>
            <w:tcW w:w="184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现金或银行保证金担保函</w:t>
            </w:r>
          </w:p>
        </w:tc>
        <w:tc>
          <w:tcPr>
            <w:tcW w:w="197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旅行社应当自取得旅行社业务经营许可证之日起3个工作日内，在文化和旅游行政主管部门指定的银行开设专门的保证金账户，存入保证金，或者向作出许可的文化和旅游行政管理部门提交依法取得的担保额度不低于相应保证金数额的银行担保。</w:t>
            </w:r>
          </w:p>
        </w:tc>
        <w:tc>
          <w:tcPr>
            <w:tcW w:w="237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sz w:val="20"/>
                <w:szCs w:val="20"/>
                <w:vertAlign w:val="baseline"/>
                <w:lang w:val="en-US" w:eastAsia="zh-CN"/>
              </w:rPr>
            </w:pPr>
            <w:r>
              <w:rPr>
                <w:rFonts w:hint="default" w:ascii="Times New Roman" w:hAnsi="Times New Roman" w:eastAsia="仿宋" w:cs="Times New Roman"/>
                <w:sz w:val="20"/>
                <w:szCs w:val="20"/>
                <w:vertAlign w:val="baseline"/>
                <w:lang w:val="en-US" w:eastAsia="zh-CN"/>
              </w:rPr>
              <w:t>旅行社不再从事旅游业务的，凭文化和旅游行政管理部门出具的凭证，向银行取回保证金。</w:t>
            </w:r>
          </w:p>
        </w:tc>
      </w:tr>
    </w:tbl>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eastAsia="仿宋_GB2312"/>
          <w:sz w:val="32"/>
          <w:szCs w:val="28"/>
          <w:lang w:val="en-US" w:eastAsia="zh-CN"/>
        </w:rPr>
      </w:pPr>
    </w:p>
    <w:sectPr>
      <w:footerReference r:id="rId3" w:type="default"/>
      <w:pgSz w:w="16838" w:h="11906" w:orient="landscape"/>
      <w:pgMar w:top="1417" w:right="1417" w:bottom="1417" w:left="1417" w:header="1020" w:footer="130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长城小标宋体">
    <w:altName w:val="宋体"/>
    <w:panose1 w:val="02010609010101010101"/>
    <w:charset w:val="86"/>
    <w:family w:val="modern"/>
    <w:pitch w:val="default"/>
    <w:sig w:usb0="00000000" w:usb1="00000000" w:usb2="00000000"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仿宋">
    <w:altName w:val="宋体"/>
    <w:panose1 w:val="02010609060101010101"/>
    <w:charset w:val="86"/>
    <w:family w:val="auto"/>
    <w:pitch w:val="default"/>
    <w:sig w:usb0="00000000" w:usb1="00000000" w:usb2="00000016" w:usb3="00000000" w:csb0="00040001"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eastAsia="宋体"/>
                              <w:sz w:val="28"/>
                              <w:szCs w:val="28"/>
                              <w:lang w:eastAsia="zh-CN"/>
                            </w:rPr>
                          </w:pPr>
                          <w:r>
                            <w:rPr>
                              <w:rFonts w:hint="default"/>
                              <w:sz w:val="28"/>
                              <w:szCs w:val="28"/>
                              <w:lang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1</w:t>
                          </w:r>
                          <w:r>
                            <w:rPr>
                              <w:rFonts w:hint="default"/>
                              <w:sz w:val="28"/>
                              <w:szCs w:val="28"/>
                              <w:lang w:eastAsia="zh-CN"/>
                            </w:rPr>
                            <w:fldChar w:fldCharType="end"/>
                          </w:r>
                          <w:r>
                            <w:rPr>
                              <w:rFonts w:hint="default"/>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eastAsia="宋体"/>
                        <w:sz w:val="28"/>
                        <w:szCs w:val="28"/>
                        <w:lang w:eastAsia="zh-CN"/>
                      </w:rPr>
                    </w:pPr>
                    <w:r>
                      <w:rPr>
                        <w:rFonts w:hint="default"/>
                        <w:sz w:val="28"/>
                        <w:szCs w:val="28"/>
                        <w:lang w:eastAsia="zh-CN"/>
                      </w:rPr>
                      <w:t xml:space="preserve">— </w:t>
                    </w:r>
                    <w:r>
                      <w:rPr>
                        <w:rFonts w:hint="default"/>
                        <w:sz w:val="28"/>
                        <w:szCs w:val="28"/>
                        <w:lang w:eastAsia="zh-CN"/>
                      </w:rPr>
                      <w:fldChar w:fldCharType="begin"/>
                    </w:r>
                    <w:r>
                      <w:rPr>
                        <w:rFonts w:hint="default"/>
                        <w:sz w:val="28"/>
                        <w:szCs w:val="28"/>
                        <w:lang w:eastAsia="zh-CN"/>
                      </w:rPr>
                      <w:instrText xml:space="preserve"> PAGE  \* MERGEFORMAT </w:instrText>
                    </w:r>
                    <w:r>
                      <w:rPr>
                        <w:rFonts w:hint="default"/>
                        <w:sz w:val="28"/>
                        <w:szCs w:val="28"/>
                        <w:lang w:eastAsia="zh-CN"/>
                      </w:rPr>
                      <w:fldChar w:fldCharType="separate"/>
                    </w:r>
                    <w:r>
                      <w:rPr>
                        <w:rFonts w:hint="default"/>
                        <w:sz w:val="28"/>
                        <w:szCs w:val="28"/>
                        <w:lang w:eastAsia="zh-CN"/>
                      </w:rPr>
                      <w:t>1</w:t>
                    </w:r>
                    <w:r>
                      <w:rPr>
                        <w:rFonts w:hint="default"/>
                        <w:sz w:val="28"/>
                        <w:szCs w:val="28"/>
                        <w:lang w:eastAsia="zh-CN"/>
                      </w:rPr>
                      <w:fldChar w:fldCharType="end"/>
                    </w:r>
                    <w:r>
                      <w:rPr>
                        <w:rFonts w:hint="default"/>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81069"/>
    <w:rsid w:val="07181069"/>
    <w:rsid w:val="073F5A65"/>
    <w:rsid w:val="2B710E29"/>
    <w:rsid w:val="469D337B"/>
    <w:rsid w:val="46A67C1D"/>
    <w:rsid w:val="484E0C8E"/>
    <w:rsid w:val="7DE41C70"/>
    <w:rsid w:val="AEA707B6"/>
    <w:rsid w:val="E3F7FE01"/>
    <w:rsid w:val="EDCBB276"/>
    <w:rsid w:val="FDFB5B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Text"/>
    <w:basedOn w:val="1"/>
    <w:semiHidden/>
    <w:qFormat/>
    <w:uiPriority w:val="0"/>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Office_11.8.2.10534_F1E327BC-269C-435d-A152-05C5408002CA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2025-12-27T22:44:00Z</dcterms:created>
  <dc:creator>cfq</dc:creator>
  <cp:lastModifiedBy>邵佳</cp:lastModifiedBy>
  <cp:lastPrinted>2025-12-30T17:06:00Z</cp:lastPrinted>
  <dcterms:modified xsi:type="dcterms:W3CDTF">2026-02-24T17:22:17Z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2052-11.8.2.10534</vt:lpwstr>
  </property>
</Properties>
</file>