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91800">
      <w:pPr>
        <w:snapToGrid w:val="0"/>
        <w:jc w:val="center"/>
        <w:rPr>
          <w:rFonts w:hint="eastAsia" w:ascii="方正小标宋简体" w:eastAsia="方正小标宋简体"/>
          <w:sz w:val="40"/>
          <w:szCs w:val="40"/>
        </w:rPr>
      </w:pPr>
      <w:r>
        <w:rPr>
          <w:rFonts w:hint="eastAsia" w:ascii="方正小标宋简体" w:eastAsia="方正小标宋简体"/>
          <w:sz w:val="40"/>
          <w:szCs w:val="40"/>
        </w:rPr>
        <w:t>《高价值专利培育中心</w:t>
      </w:r>
      <w:r>
        <w:rPr>
          <w:rFonts w:hint="eastAsia" w:ascii="方正小标宋简体" w:eastAsia="方正小标宋简体"/>
          <w:sz w:val="40"/>
          <w:szCs w:val="40"/>
          <w:lang w:val="en-US" w:eastAsia="zh-CN"/>
        </w:rPr>
        <w:t>绩效</w:t>
      </w:r>
      <w:r>
        <w:rPr>
          <w:rFonts w:hint="eastAsia" w:ascii="方正小标宋简体" w:eastAsia="方正小标宋简体"/>
          <w:sz w:val="40"/>
          <w:szCs w:val="40"/>
        </w:rPr>
        <w:t>评价规范》</w:t>
      </w:r>
    </w:p>
    <w:p w14:paraId="2CFC4EDB">
      <w:pPr>
        <w:snapToGrid w:val="0"/>
        <w:jc w:val="center"/>
        <w:rPr>
          <w:rFonts w:hint="eastAsia" w:ascii="方正小标宋简体" w:eastAsia="方正小标宋简体"/>
          <w:sz w:val="40"/>
          <w:szCs w:val="40"/>
        </w:rPr>
      </w:pPr>
      <w:r>
        <w:rPr>
          <w:rFonts w:hint="eastAsia" w:ascii="方正小标宋简体" w:eastAsia="方正小标宋简体"/>
          <w:sz w:val="40"/>
          <w:szCs w:val="40"/>
        </w:rPr>
        <w:t>编制说明</w:t>
      </w:r>
    </w:p>
    <w:p w14:paraId="7CFC9B63">
      <w:pPr>
        <w:rPr>
          <w:rFonts w:hint="eastAsia"/>
        </w:rPr>
      </w:pPr>
    </w:p>
    <w:p w14:paraId="6669E5AC">
      <w:pPr>
        <w:pStyle w:val="37"/>
        <w:rPr>
          <w:rFonts w:hint="eastAsia"/>
        </w:rPr>
      </w:pPr>
      <w:r>
        <w:rPr>
          <w:rFonts w:hint="eastAsia"/>
        </w:rPr>
        <w:t>一、编制的目的和意义</w:t>
      </w:r>
    </w:p>
    <w:p w14:paraId="079CE795">
      <w:pPr>
        <w:pStyle w:val="39"/>
        <w:rPr>
          <w:rFonts w:hint="eastAsia"/>
        </w:rPr>
      </w:pPr>
      <w:r>
        <w:rPr>
          <w:rFonts w:hint="eastAsia"/>
        </w:rPr>
        <w:t>（一）编制目的</w:t>
      </w:r>
    </w:p>
    <w:p w14:paraId="581B1CDF">
      <w:pPr>
        <w:pStyle w:val="39"/>
        <w:rPr>
          <w:rFonts w:ascii="仿宋_GB2312" w:eastAsia="仿宋_GB2312" w:hAnsiTheme="minorHAnsi"/>
        </w:rPr>
      </w:pPr>
      <w:r>
        <w:rPr>
          <w:rFonts w:hint="eastAsia" w:ascii="仿宋_GB2312" w:eastAsia="仿宋_GB2312" w:hAnsiTheme="minorHAnsi"/>
        </w:rPr>
        <w:t>本规范以构建科学、量化、导向明确的高价值专利培育中心</w:t>
      </w:r>
      <w:r>
        <w:rPr>
          <w:rFonts w:hint="eastAsia" w:ascii="仿宋_GB2312" w:eastAsia="仿宋_GB2312" w:hAnsiTheme="minorHAnsi"/>
          <w:lang w:eastAsia="zh-CN"/>
        </w:rPr>
        <w:t>绩效</w:t>
      </w:r>
      <w:r>
        <w:rPr>
          <w:rFonts w:hint="eastAsia" w:ascii="仿宋_GB2312" w:eastAsia="仿宋_GB2312" w:hAnsiTheme="minorHAnsi"/>
        </w:rPr>
        <w:t>评价体系为核心，将培育质量转化为可衡量、可落地的具体指标，为河南省高价值专利培育中心的绩效</w:t>
      </w:r>
      <w:r>
        <w:rPr>
          <w:rFonts w:hint="eastAsia" w:ascii="仿宋_GB2312" w:eastAsia="仿宋_GB2312" w:hAnsiTheme="minorHAnsi"/>
          <w:lang w:val="en-US" w:eastAsia="zh-CN"/>
        </w:rPr>
        <w:t>评价</w:t>
      </w:r>
      <w:r>
        <w:rPr>
          <w:rFonts w:hint="eastAsia" w:ascii="仿宋_GB2312" w:eastAsia="仿宋_GB2312" w:hAnsiTheme="minorHAnsi"/>
        </w:rPr>
        <w:t>提供统一标尺；通过</w:t>
      </w:r>
      <w:r>
        <w:rPr>
          <w:rFonts w:hint="eastAsia" w:ascii="仿宋_GB2312" w:eastAsia="仿宋_GB2312" w:hAnsiTheme="minorHAnsi"/>
          <w:lang w:eastAsia="zh-CN"/>
        </w:rPr>
        <w:t>绩效</w:t>
      </w:r>
      <w:r>
        <w:rPr>
          <w:rFonts w:hint="eastAsia" w:ascii="仿宋_GB2312" w:eastAsia="仿宋_GB2312" w:hAnsiTheme="minorHAnsi"/>
        </w:rPr>
        <w:t>实现优胜劣汰，引导创新资源向高效益、高产出的培育中心聚集，避免资源浪费；扭转“重申请、轻维护、轻转化”的行业现象，重点</w:t>
      </w:r>
      <w:r>
        <w:rPr>
          <w:rFonts w:hint="eastAsia" w:ascii="仿宋_GB2312" w:eastAsia="仿宋_GB2312" w:hAnsiTheme="minorHAnsi"/>
          <w:lang w:val="en-US" w:eastAsia="zh-CN"/>
        </w:rPr>
        <w:t>评价</w:t>
      </w:r>
      <w:r>
        <w:rPr>
          <w:rFonts w:hint="eastAsia" w:ascii="仿宋_GB2312" w:eastAsia="仿宋_GB2312" w:hAnsiTheme="minorHAnsi"/>
        </w:rPr>
        <w:t>专利的市场转化率和国际竞争力；为主管部门掌握培育中心运行情况、实施动态管理提供依据，形成“以评促建、以评促优”的良性循环，同时为相关政策制定和财政资金投放提供数据支撑。</w:t>
      </w:r>
    </w:p>
    <w:p w14:paraId="44284F61">
      <w:pPr>
        <w:pStyle w:val="39"/>
        <w:rPr>
          <w:rFonts w:hint="eastAsia"/>
        </w:rPr>
      </w:pPr>
      <w:r>
        <w:rPr>
          <w:rFonts w:hint="eastAsia"/>
        </w:rPr>
        <w:t>（二）编制意义</w:t>
      </w:r>
    </w:p>
    <w:p w14:paraId="2D7AD372">
      <w:pPr>
        <w:pStyle w:val="43"/>
      </w:pPr>
      <w:r>
        <w:rPr>
          <w:rFonts w:hint="eastAsia"/>
        </w:rPr>
        <w:t>1、对创新主体</w:t>
      </w:r>
    </w:p>
    <w:p w14:paraId="7D839655">
      <w:pPr>
        <w:pStyle w:val="37"/>
        <w:rPr>
          <w:rFonts w:hint="eastAsia" w:ascii="仿宋_GB2312" w:eastAsia="仿宋_GB2312" w:hAnsiTheme="minorHAnsi"/>
        </w:rPr>
      </w:pPr>
      <w:r>
        <w:rPr>
          <w:rFonts w:hint="eastAsia" w:ascii="仿宋_GB2312" w:eastAsia="仿宋_GB2312" w:hAnsiTheme="minorHAnsi"/>
          <w:lang w:eastAsia="zh-CN"/>
        </w:rPr>
        <w:t>绩效</w:t>
      </w:r>
      <w:r>
        <w:rPr>
          <w:rFonts w:hint="eastAsia" w:ascii="仿宋_GB2312" w:eastAsia="仿宋_GB2312" w:hAnsiTheme="minorHAnsi"/>
        </w:rPr>
        <w:t>评价体系是培育中心的 “体检单”，帮助创新主体精准发现专利培育、运营、管理等环节的短板，优化内部管理体系，同时向社会和市场传递创新公信力，提升市场竞争力。</w:t>
      </w:r>
    </w:p>
    <w:p w14:paraId="0BC8378B">
      <w:pPr>
        <w:pStyle w:val="37"/>
        <w:ind w:firstLine="643"/>
        <w:rPr>
          <w:rFonts w:ascii="仿宋_GB2312" w:eastAsia="仿宋_GB2312" w:hAnsiTheme="minorHAnsi"/>
          <w:b/>
          <w:bCs/>
        </w:rPr>
      </w:pPr>
      <w:r>
        <w:rPr>
          <w:rFonts w:hint="eastAsia" w:ascii="仿宋_GB2312" w:eastAsia="仿宋_GB2312" w:hAnsiTheme="minorHAnsi"/>
          <w:b/>
          <w:bCs/>
        </w:rPr>
        <w:t>2、对产业发展</w:t>
      </w:r>
    </w:p>
    <w:p w14:paraId="3C2B3DB4">
      <w:pPr>
        <w:pStyle w:val="37"/>
        <w:rPr>
          <w:rFonts w:hint="eastAsia" w:ascii="仿宋_GB2312" w:eastAsia="仿宋_GB2312" w:hAnsiTheme="minorHAnsi"/>
        </w:rPr>
      </w:pPr>
      <w:r>
        <w:rPr>
          <w:rFonts w:hint="eastAsia" w:ascii="仿宋_GB2312" w:eastAsia="仿宋_GB2312" w:hAnsiTheme="minorHAnsi"/>
        </w:rPr>
        <w:t>以</w:t>
      </w:r>
      <w:r>
        <w:rPr>
          <w:rFonts w:hint="eastAsia" w:ascii="仿宋_GB2312" w:eastAsia="仿宋_GB2312" w:hAnsiTheme="minorHAnsi"/>
          <w:lang w:eastAsia="zh-CN"/>
        </w:rPr>
        <w:t>绩效</w:t>
      </w:r>
      <w:r>
        <w:rPr>
          <w:rFonts w:hint="eastAsia" w:ascii="仿宋_GB2312" w:eastAsia="仿宋_GB2312" w:hAnsiTheme="minorHAnsi"/>
        </w:rPr>
        <w:t>指标为 “风向标”，引导创新资源聚焦河南省 “7+28+N” 产业链，围绕关键核心技术开展高价值专利培育，加速技术突破，强化创新链与产业链融合，增强产业链韧性与安全。</w:t>
      </w:r>
    </w:p>
    <w:p w14:paraId="1A0FE55F">
      <w:pPr>
        <w:pStyle w:val="37"/>
        <w:ind w:firstLine="643"/>
        <w:rPr>
          <w:rFonts w:ascii="仿宋_GB2312" w:eastAsia="仿宋_GB2312" w:hAnsiTheme="minorHAnsi"/>
          <w:b/>
          <w:bCs/>
        </w:rPr>
      </w:pPr>
      <w:r>
        <w:rPr>
          <w:rFonts w:hint="eastAsia" w:ascii="仿宋_GB2312" w:eastAsia="仿宋_GB2312" w:hAnsiTheme="minorHAnsi"/>
          <w:b/>
          <w:bCs/>
        </w:rPr>
        <w:t>3、对区域创新</w:t>
      </w:r>
    </w:p>
    <w:p w14:paraId="61EB01EC">
      <w:pPr>
        <w:pStyle w:val="37"/>
        <w:rPr>
          <w:rFonts w:hint="eastAsia" w:ascii="仿宋_GB2312" w:eastAsia="仿宋_GB2312" w:hAnsiTheme="minorHAnsi"/>
        </w:rPr>
      </w:pPr>
      <w:r>
        <w:rPr>
          <w:rFonts w:hint="eastAsia" w:ascii="仿宋_GB2312" w:eastAsia="仿宋_GB2312" w:hAnsiTheme="minorHAnsi"/>
        </w:rPr>
        <w:t>通过</w:t>
      </w:r>
      <w:r>
        <w:rPr>
          <w:rFonts w:hint="eastAsia" w:ascii="仿宋_GB2312" w:eastAsia="仿宋_GB2312" w:hAnsiTheme="minorHAnsi"/>
          <w:lang w:eastAsia="zh-CN"/>
        </w:rPr>
        <w:t>绩效</w:t>
      </w:r>
      <w:r>
        <w:rPr>
          <w:rFonts w:hint="eastAsia" w:ascii="仿宋_GB2312" w:eastAsia="仿宋_GB2312" w:hAnsiTheme="minorHAnsi"/>
          <w:lang w:val="en-US" w:eastAsia="zh-CN"/>
        </w:rPr>
        <w:t>评价</w:t>
      </w:r>
      <w:r>
        <w:rPr>
          <w:rFonts w:hint="eastAsia" w:ascii="仿宋_GB2312" w:eastAsia="仿宋_GB2312" w:hAnsiTheme="minorHAnsi"/>
        </w:rPr>
        <w:t>打造一批高价值专利培育中心标杆，形成示范效应，推动河南省高价值专利培育工作规范化、高质量发展，提升河南在全国知识产权工作中的形象和地位，助力知识产权强省建设。</w:t>
      </w:r>
    </w:p>
    <w:p w14:paraId="4769E141">
      <w:pPr>
        <w:pStyle w:val="37"/>
        <w:ind w:firstLine="643"/>
        <w:rPr>
          <w:rFonts w:ascii="仿宋_GB2312" w:eastAsia="仿宋_GB2312" w:hAnsiTheme="minorHAnsi"/>
          <w:b/>
          <w:bCs/>
        </w:rPr>
      </w:pPr>
      <w:r>
        <w:rPr>
          <w:rFonts w:hint="eastAsia" w:ascii="仿宋_GB2312" w:eastAsia="仿宋_GB2312" w:hAnsiTheme="minorHAnsi"/>
          <w:b/>
          <w:bCs/>
        </w:rPr>
        <w:t>4、对政策实施</w:t>
      </w:r>
    </w:p>
    <w:p w14:paraId="0FB5AB48">
      <w:pPr>
        <w:pStyle w:val="37"/>
        <w:rPr>
          <w:rFonts w:hint="eastAsia" w:ascii="仿宋_GB2312" w:eastAsia="仿宋_GB2312" w:hAnsiTheme="minorHAnsi"/>
        </w:rPr>
      </w:pPr>
      <w:r>
        <w:rPr>
          <w:rFonts w:hint="eastAsia" w:ascii="仿宋_GB2312" w:eastAsia="仿宋_GB2312" w:hAnsiTheme="minorHAnsi"/>
        </w:rPr>
        <w:t>建立统一的</w:t>
      </w:r>
      <w:r>
        <w:rPr>
          <w:rFonts w:hint="eastAsia" w:ascii="仿宋_GB2312" w:eastAsia="仿宋_GB2312" w:hAnsiTheme="minorHAnsi"/>
          <w:lang w:eastAsia="zh-CN"/>
        </w:rPr>
        <w:t>绩效</w:t>
      </w:r>
      <w:r>
        <w:rPr>
          <w:rFonts w:hint="eastAsia" w:ascii="仿宋_GB2312" w:eastAsia="仿宋_GB2312" w:hAnsiTheme="minorHAnsi"/>
        </w:rPr>
        <w:t>标准，精准识别运行不佳的培育中心，完善退出机制，确保财政资金投向最具潜力的创新主体，提升财政资金使用的精准性和有效性，形成从投入、过程到产出、影响的完整管理闭环。</w:t>
      </w:r>
    </w:p>
    <w:p w14:paraId="28BC3001">
      <w:pPr>
        <w:pStyle w:val="37"/>
        <w:ind w:firstLine="643"/>
        <w:rPr>
          <w:rFonts w:ascii="仿宋_GB2312" w:eastAsia="仿宋_GB2312" w:hAnsiTheme="minorHAnsi"/>
          <w:b/>
          <w:bCs/>
        </w:rPr>
      </w:pPr>
      <w:r>
        <w:rPr>
          <w:rFonts w:hint="eastAsia" w:ascii="仿宋_GB2312" w:eastAsia="仿宋_GB2312" w:hAnsiTheme="minorHAnsi"/>
          <w:b/>
          <w:bCs/>
        </w:rPr>
        <w:t>5对国际竞争</w:t>
      </w:r>
    </w:p>
    <w:p w14:paraId="17C8AF06">
      <w:pPr>
        <w:pStyle w:val="37"/>
        <w:rPr>
          <w:rFonts w:ascii="仿宋_GB2312" w:eastAsia="仿宋_GB2312" w:hAnsiTheme="minorHAnsi"/>
        </w:rPr>
      </w:pPr>
      <w:r>
        <w:rPr>
          <w:rFonts w:hint="eastAsia" w:ascii="仿宋_GB2312" w:eastAsia="仿宋_GB2312" w:hAnsiTheme="minorHAnsi"/>
          <w:lang w:eastAsia="zh-CN"/>
        </w:rPr>
        <w:t>绩效</w:t>
      </w:r>
      <w:r>
        <w:rPr>
          <w:rFonts w:hint="eastAsia" w:ascii="仿宋_GB2312" w:eastAsia="仿宋_GB2312" w:hAnsiTheme="minorHAnsi"/>
        </w:rPr>
        <w:t>指标中纳入 PCT 国际专利布局等内容，引导培育中心对标国际规则，提前布局海外专利，帮助河南企业在全球市场竞争中抢占先机。</w:t>
      </w:r>
    </w:p>
    <w:p w14:paraId="0368D73B">
      <w:pPr>
        <w:pStyle w:val="37"/>
        <w:rPr>
          <w:rFonts w:hint="eastAsia"/>
        </w:rPr>
      </w:pPr>
      <w:r>
        <w:rPr>
          <w:rFonts w:hint="eastAsia"/>
        </w:rPr>
        <w:t>二、任务来源及编制原则和依据</w:t>
      </w:r>
    </w:p>
    <w:p w14:paraId="68159486">
      <w:pPr>
        <w:pStyle w:val="39"/>
        <w:rPr>
          <w:rFonts w:hint="eastAsia"/>
        </w:rPr>
      </w:pPr>
      <w:r>
        <w:rPr>
          <w:rFonts w:hint="eastAsia"/>
        </w:rPr>
        <w:t>（一）任务来源</w:t>
      </w:r>
    </w:p>
    <w:p w14:paraId="24F838A5">
      <w:pPr>
        <w:pStyle w:val="39"/>
        <w:rPr>
          <w:rFonts w:hint="eastAsia" w:ascii="仿宋_GB2312" w:eastAsia="仿宋_GB2312" w:hAnsiTheme="minorHAnsi"/>
        </w:rPr>
      </w:pPr>
      <w:r>
        <w:rPr>
          <w:rFonts w:hint="eastAsia" w:ascii="仿宋_GB2312" w:eastAsia="仿宋_GB2312" w:hAnsiTheme="minorHAnsi"/>
        </w:rPr>
        <w:t>2025 年 12 月河南省政府常务会议审议通过《河南省加快专利转化运用实施方案》（豫政办〔2025〕70 号），将 “加快高价值专利培育中心建设” 列为全省知识产权工作重点任务，要求建立科学的绩效评价体系和动态管理机制。</w:t>
      </w:r>
    </w:p>
    <w:p w14:paraId="6BAB18FF">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为落实该方案，</w:t>
      </w:r>
      <w:r>
        <w:rPr>
          <w:rFonts w:hint="eastAsia" w:ascii="仿宋_GB2312" w:eastAsia="仿宋_GB2312"/>
          <w:sz w:val="32"/>
          <w:szCs w:val="32"/>
          <w:lang w:val="en-US" w:eastAsia="zh-CN"/>
        </w:rPr>
        <w:t>按照</w:t>
      </w:r>
      <w:r>
        <w:rPr>
          <w:rFonts w:hint="eastAsia" w:ascii="仿宋_GB2312" w:eastAsia="仿宋_GB2312"/>
          <w:sz w:val="32"/>
          <w:szCs w:val="32"/>
        </w:rPr>
        <w:t>河南省</w:t>
      </w:r>
      <w:r>
        <w:rPr>
          <w:rFonts w:hint="eastAsia" w:ascii="仿宋_GB2312" w:eastAsia="仿宋_GB2312"/>
          <w:sz w:val="32"/>
          <w:szCs w:val="32"/>
          <w:lang w:val="en-US" w:eastAsia="zh-CN"/>
        </w:rPr>
        <w:t>市场监督管理局（知识产权局）的要求，河南省标准化协会</w:t>
      </w:r>
      <w:r>
        <w:rPr>
          <w:rFonts w:hint="eastAsia" w:ascii="仿宋_GB2312" w:eastAsia="仿宋_GB2312"/>
          <w:sz w:val="32"/>
          <w:szCs w:val="32"/>
        </w:rPr>
        <w:t>启动《河南省高价值专利培育中心建设规范》等四项团体标准立项工作，于2026年3月</w:t>
      </w:r>
      <w:r>
        <w:rPr>
          <w:rFonts w:hint="eastAsia" w:ascii="仿宋_GB2312" w:eastAsia="仿宋_GB2312"/>
          <w:sz w:val="32"/>
          <w:szCs w:val="32"/>
          <w:lang w:val="en-US" w:eastAsia="zh-CN"/>
        </w:rPr>
        <w:t>10日</w:t>
      </w:r>
      <w:r>
        <w:rPr>
          <w:rFonts w:hint="eastAsia" w:ascii="仿宋_GB2312" w:eastAsia="仿宋_GB2312"/>
          <w:sz w:val="32"/>
          <w:szCs w:val="32"/>
        </w:rPr>
        <w:t>组织召开立项论证会，</w:t>
      </w:r>
      <w:r>
        <w:rPr>
          <w:rFonts w:hint="eastAsia" w:ascii="仿宋_GB2312" w:eastAsia="仿宋_GB2312"/>
          <w:sz w:val="32"/>
          <w:szCs w:val="32"/>
          <w:lang w:val="en-US" w:eastAsia="zh-CN"/>
        </w:rPr>
        <w:t>专家组一致同意该团体标准立项</w:t>
      </w:r>
      <w:r>
        <w:rPr>
          <w:rFonts w:hint="eastAsia" w:ascii="仿宋_GB2312" w:eastAsia="仿宋_GB2312"/>
          <w:sz w:val="32"/>
          <w:szCs w:val="32"/>
        </w:rPr>
        <w:t>。</w:t>
      </w:r>
    </w:p>
    <w:p w14:paraId="7057DF2E">
      <w:pPr>
        <w:pStyle w:val="39"/>
        <w:rPr>
          <w:rFonts w:hint="eastAsia"/>
        </w:rPr>
      </w:pPr>
      <w:r>
        <w:rPr>
          <w:rFonts w:hint="eastAsia"/>
        </w:rPr>
        <w:t>（二）编制原则</w:t>
      </w:r>
    </w:p>
    <w:p w14:paraId="6EBE602E">
      <w:pPr>
        <w:pStyle w:val="39"/>
        <w:ind w:firstLine="643"/>
        <w:rPr>
          <w:rFonts w:ascii="仿宋_GB2312" w:eastAsia="仿宋_GB2312" w:hAnsiTheme="minorHAnsi"/>
          <w:b/>
          <w:bCs/>
        </w:rPr>
      </w:pPr>
      <w:r>
        <w:rPr>
          <w:rFonts w:hint="eastAsia" w:ascii="仿宋_GB2312" w:eastAsia="仿宋_GB2312" w:hAnsiTheme="minorHAnsi"/>
          <w:b/>
          <w:bCs/>
        </w:rPr>
        <w:t>1、质量导向，效益优先</w:t>
      </w:r>
    </w:p>
    <w:p w14:paraId="037B39C1">
      <w:pPr>
        <w:pStyle w:val="39"/>
        <w:rPr>
          <w:rFonts w:hint="eastAsia" w:ascii="仿宋_GB2312" w:eastAsia="仿宋_GB2312" w:hAnsiTheme="minorHAnsi"/>
        </w:rPr>
      </w:pPr>
      <w:r>
        <w:rPr>
          <w:rFonts w:hint="eastAsia" w:ascii="仿宋_GB2312" w:eastAsia="仿宋_GB2312" w:hAnsiTheme="minorHAnsi"/>
        </w:rPr>
        <w:t>摒弃单纯以专利数量为核心的评价方式，突出专利技术价值、商业价值、市场转化率和国际竞争力，引导培育中心走 “质量型、效益型” 发展道路。</w:t>
      </w:r>
    </w:p>
    <w:p w14:paraId="27FCEF70">
      <w:pPr>
        <w:pStyle w:val="39"/>
        <w:ind w:firstLine="643"/>
        <w:rPr>
          <w:rFonts w:ascii="仿宋_GB2312" w:eastAsia="仿宋_GB2312" w:hAnsiTheme="minorHAnsi"/>
          <w:b/>
          <w:bCs/>
        </w:rPr>
      </w:pPr>
      <w:r>
        <w:rPr>
          <w:rFonts w:hint="eastAsia" w:ascii="仿宋_GB2312" w:eastAsia="仿宋_GB2312" w:hAnsiTheme="minorHAnsi"/>
          <w:b/>
          <w:bCs/>
        </w:rPr>
        <w:t>2、科学量化，可操作性强</w:t>
      </w:r>
    </w:p>
    <w:p w14:paraId="296344D1">
      <w:pPr>
        <w:pStyle w:val="39"/>
        <w:rPr>
          <w:rFonts w:hint="eastAsia" w:ascii="仿宋_GB2312" w:eastAsia="仿宋_GB2312" w:hAnsiTheme="minorHAnsi"/>
        </w:rPr>
      </w:pPr>
      <w:r>
        <w:rPr>
          <w:rFonts w:hint="eastAsia" w:ascii="仿宋_GB2312" w:eastAsia="仿宋_GB2312" w:hAnsiTheme="minorHAnsi"/>
        </w:rPr>
        <w:t>构建层级清晰、权重合理的量化指标体系，</w:t>
      </w:r>
      <w:r>
        <w:rPr>
          <w:rFonts w:hint="eastAsia" w:ascii="仿宋_GB2312" w:eastAsia="仿宋_GB2312" w:hAnsiTheme="minorHAnsi"/>
          <w:lang w:eastAsia="zh-CN"/>
        </w:rPr>
        <w:t>绩效</w:t>
      </w:r>
      <w:r>
        <w:rPr>
          <w:rFonts w:hint="eastAsia" w:ascii="仿宋_GB2312" w:eastAsia="仿宋_GB2312" w:hAnsiTheme="minorHAnsi"/>
        </w:rPr>
        <w:t>流程和评分标准明确具体，数据可采集、评价可落地，确保</w:t>
      </w:r>
      <w:r>
        <w:rPr>
          <w:rFonts w:hint="eastAsia" w:ascii="仿宋_GB2312" w:eastAsia="仿宋_GB2312" w:hAnsiTheme="minorHAnsi"/>
          <w:lang w:eastAsia="zh-CN"/>
        </w:rPr>
        <w:t>绩效</w:t>
      </w:r>
      <w:r>
        <w:rPr>
          <w:rFonts w:hint="eastAsia" w:ascii="仿宋_GB2312" w:eastAsia="仿宋_GB2312" w:hAnsiTheme="minorHAnsi"/>
        </w:rPr>
        <w:t>工作公平、公正、高效开展。</w:t>
      </w:r>
    </w:p>
    <w:p w14:paraId="16162501">
      <w:pPr>
        <w:pStyle w:val="39"/>
        <w:ind w:firstLine="643"/>
        <w:rPr>
          <w:rFonts w:ascii="仿宋_GB2312" w:eastAsia="仿宋_GB2312" w:hAnsiTheme="minorHAnsi"/>
          <w:b/>
          <w:bCs/>
        </w:rPr>
      </w:pPr>
      <w:r>
        <w:rPr>
          <w:rFonts w:hint="eastAsia" w:ascii="仿宋_GB2312" w:eastAsia="仿宋_GB2312" w:hAnsiTheme="minorHAnsi"/>
          <w:b/>
          <w:bCs/>
        </w:rPr>
        <w:t>3、动态管理，以评促建</w:t>
      </w:r>
    </w:p>
    <w:p w14:paraId="6053E1C0">
      <w:pPr>
        <w:pStyle w:val="39"/>
        <w:rPr>
          <w:rFonts w:hint="eastAsia" w:ascii="仿宋_GB2312" w:eastAsia="仿宋_GB2312" w:hAnsiTheme="minorHAnsi"/>
        </w:rPr>
      </w:pPr>
      <w:r>
        <w:rPr>
          <w:rFonts w:hint="eastAsia" w:ascii="仿宋_GB2312" w:eastAsia="仿宋_GB2312" w:hAnsiTheme="minorHAnsi"/>
        </w:rPr>
        <w:t>建立“年度评估 + 期满评价”的动态</w:t>
      </w:r>
      <w:r>
        <w:rPr>
          <w:rFonts w:hint="eastAsia" w:ascii="仿宋_GB2312" w:eastAsia="仿宋_GB2312" w:hAnsiTheme="minorHAnsi"/>
          <w:lang w:eastAsia="zh-CN"/>
        </w:rPr>
        <w:t>绩效</w:t>
      </w:r>
      <w:r>
        <w:rPr>
          <w:rFonts w:hint="eastAsia" w:ascii="仿宋_GB2312" w:eastAsia="仿宋_GB2312" w:hAnsiTheme="minorHAnsi"/>
        </w:rPr>
        <w:t>机制，将</w:t>
      </w:r>
      <w:r>
        <w:rPr>
          <w:rFonts w:hint="eastAsia" w:ascii="仿宋_GB2312" w:eastAsia="仿宋_GB2312" w:hAnsiTheme="minorHAnsi"/>
          <w:lang w:eastAsia="zh-CN"/>
        </w:rPr>
        <w:t>绩效</w:t>
      </w:r>
      <w:r>
        <w:rPr>
          <w:rFonts w:hint="eastAsia" w:ascii="仿宋_GB2312" w:eastAsia="仿宋_GB2312" w:hAnsiTheme="minorHAnsi"/>
        </w:rPr>
        <w:t>结果与培育中心资质保留、政策扶持、资金奖补挂钩，形成“</w:t>
      </w:r>
      <w:r>
        <w:rPr>
          <w:rFonts w:hint="eastAsia" w:ascii="仿宋_GB2312" w:eastAsia="仿宋_GB2312" w:hAnsiTheme="minorHAnsi"/>
          <w:lang w:eastAsia="zh-CN"/>
        </w:rPr>
        <w:t>绩效</w:t>
      </w:r>
      <w:r>
        <w:rPr>
          <w:rFonts w:hint="eastAsia" w:ascii="仿宋_GB2312" w:eastAsia="仿宋_GB2312" w:hAnsiTheme="minorHAnsi"/>
        </w:rPr>
        <w:t xml:space="preserve"> - 改进 - 提升”的闭环管理。</w:t>
      </w:r>
    </w:p>
    <w:p w14:paraId="0B3712D9">
      <w:pPr>
        <w:pStyle w:val="39"/>
        <w:ind w:firstLine="643"/>
        <w:rPr>
          <w:rFonts w:ascii="仿宋_GB2312" w:eastAsia="仿宋_GB2312" w:hAnsiTheme="minorHAnsi"/>
          <w:b/>
          <w:bCs/>
        </w:rPr>
      </w:pPr>
      <w:r>
        <w:rPr>
          <w:rFonts w:hint="eastAsia" w:ascii="仿宋_GB2312" w:eastAsia="仿宋_GB2312" w:hAnsiTheme="minorHAnsi"/>
          <w:b/>
          <w:bCs/>
        </w:rPr>
        <w:t>4、贴合省情，聚焦产业</w:t>
      </w:r>
    </w:p>
    <w:p w14:paraId="0D086074">
      <w:pPr>
        <w:pStyle w:val="39"/>
        <w:rPr>
          <w:rFonts w:hint="eastAsia" w:ascii="仿宋_GB2312" w:eastAsia="仿宋_GB2312" w:hAnsiTheme="minorHAnsi"/>
        </w:rPr>
      </w:pPr>
      <w:r>
        <w:rPr>
          <w:rFonts w:hint="eastAsia" w:ascii="仿宋_GB2312" w:eastAsia="仿宋_GB2312" w:hAnsiTheme="minorHAnsi"/>
        </w:rPr>
        <w:t>立足河南省先进制造业集群和重点产业链发展实际，</w:t>
      </w:r>
      <w:r>
        <w:rPr>
          <w:rFonts w:hint="eastAsia" w:ascii="仿宋_GB2312" w:eastAsia="仿宋_GB2312" w:hAnsiTheme="minorHAnsi"/>
          <w:lang w:eastAsia="zh-CN"/>
        </w:rPr>
        <w:t>绩效</w:t>
      </w:r>
      <w:r>
        <w:rPr>
          <w:rFonts w:hint="eastAsia" w:ascii="仿宋_GB2312" w:eastAsia="仿宋_GB2312" w:hAnsiTheme="minorHAnsi"/>
        </w:rPr>
        <w:t>指标突出对战略性新兴产业、优势主导产业的支撑，确保与全省产业发展规划高度契合。</w:t>
      </w:r>
    </w:p>
    <w:p w14:paraId="55EF0322">
      <w:pPr>
        <w:pStyle w:val="39"/>
        <w:ind w:firstLine="643"/>
        <w:rPr>
          <w:rFonts w:ascii="仿宋_GB2312" w:eastAsia="仿宋_GB2312" w:hAnsiTheme="minorHAnsi"/>
          <w:b/>
          <w:bCs/>
        </w:rPr>
      </w:pPr>
      <w:r>
        <w:rPr>
          <w:rFonts w:hint="eastAsia" w:ascii="仿宋_GB2312" w:eastAsia="仿宋_GB2312" w:hAnsiTheme="minorHAnsi"/>
          <w:b/>
          <w:bCs/>
        </w:rPr>
        <w:t>5、多方协同，权责明晰</w:t>
      </w:r>
    </w:p>
    <w:p w14:paraId="475C77D7">
      <w:pPr>
        <w:pStyle w:val="39"/>
        <w:rPr>
          <w:rFonts w:ascii="仿宋_GB2312" w:eastAsia="仿宋_GB2312" w:hAnsiTheme="minorHAnsi"/>
        </w:rPr>
      </w:pPr>
      <w:r>
        <w:rPr>
          <w:rFonts w:hint="eastAsia" w:ascii="仿宋_GB2312" w:eastAsia="仿宋_GB2312" w:hAnsiTheme="minorHAnsi"/>
        </w:rPr>
        <w:t>兼顾企业、高校/科研院所/医疗卫生机构、知识产权服务机构的协同创新特点，</w:t>
      </w:r>
      <w:r>
        <w:rPr>
          <w:rFonts w:hint="eastAsia" w:ascii="仿宋_GB2312" w:eastAsia="仿宋_GB2312" w:hAnsiTheme="minorHAnsi"/>
          <w:lang w:eastAsia="zh-CN"/>
        </w:rPr>
        <w:t>绩效</w:t>
      </w:r>
      <w:r>
        <w:rPr>
          <w:rFonts w:hint="eastAsia" w:ascii="仿宋_GB2312" w:eastAsia="仿宋_GB2312" w:hAnsiTheme="minorHAnsi"/>
        </w:rPr>
        <w:t>指标覆盖“产学研服” 全链条，明确各方在专利培育中的履职评价要求。</w:t>
      </w:r>
    </w:p>
    <w:p w14:paraId="2FF20C4D">
      <w:pPr>
        <w:pStyle w:val="39"/>
        <w:rPr>
          <w:rFonts w:hint="eastAsia"/>
        </w:rPr>
      </w:pPr>
      <w:r>
        <w:rPr>
          <w:rFonts w:hint="eastAsia"/>
        </w:rPr>
        <w:t>（三）编制依据</w:t>
      </w:r>
    </w:p>
    <w:p w14:paraId="00AE6257">
      <w:pPr>
        <w:pStyle w:val="37"/>
        <w:ind w:firstLine="643"/>
        <w:rPr>
          <w:rFonts w:ascii="仿宋_GB2312" w:eastAsia="仿宋_GB2312" w:hAnsiTheme="minorHAnsi"/>
          <w:b/>
          <w:bCs/>
        </w:rPr>
      </w:pPr>
      <w:r>
        <w:rPr>
          <w:rFonts w:hint="eastAsia" w:ascii="仿宋_GB2312" w:eastAsia="仿宋_GB2312" w:hAnsiTheme="minorHAnsi"/>
          <w:b/>
          <w:bCs/>
        </w:rPr>
        <w:t>1、政策文件</w:t>
      </w:r>
    </w:p>
    <w:p w14:paraId="3772C963">
      <w:pPr>
        <w:pStyle w:val="37"/>
        <w:rPr>
          <w:rFonts w:hint="eastAsia" w:ascii="仿宋_GB2312" w:eastAsia="仿宋_GB2312" w:hAnsiTheme="minorHAnsi"/>
        </w:rPr>
      </w:pPr>
      <w:r>
        <w:rPr>
          <w:rFonts w:hint="eastAsia" w:ascii="仿宋_GB2312" w:eastAsia="仿宋_GB2312" w:hAnsiTheme="minorHAnsi"/>
        </w:rPr>
        <w:t>《知识产权强国建设纲要 (2021-2035 年)》《“十四五” 国家知识产权保护和运用规划》《河南省知识产权强省建设纲要 (2021-2035 年)》（豫发〔2022〕31 号）、《河南省加快专利转化运用实施方案》（豫政办〔2025〕70 号）、《河南省高价值专利培育中心建设管理办法 (暂行）》（征求意见稿）</w:t>
      </w:r>
      <w:r>
        <w:rPr>
          <w:rFonts w:hint="eastAsia" w:ascii="仿宋_GB2312" w:eastAsia="仿宋_GB2312" w:hAnsiTheme="minorHAnsi"/>
          <w:lang w:val="en-US" w:eastAsia="zh-CN"/>
        </w:rPr>
        <w:t>等文件</w:t>
      </w:r>
      <w:r>
        <w:rPr>
          <w:rFonts w:hint="eastAsia" w:ascii="仿宋_GB2312" w:eastAsia="仿宋_GB2312" w:hAnsiTheme="minorHAnsi"/>
        </w:rPr>
        <w:t>。</w:t>
      </w:r>
    </w:p>
    <w:p w14:paraId="2BCD7FDA">
      <w:pPr>
        <w:pStyle w:val="43"/>
      </w:pPr>
      <w:r>
        <w:rPr>
          <w:rFonts w:hint="eastAsia"/>
        </w:rPr>
        <w:t>2、标准规范</w:t>
      </w:r>
    </w:p>
    <w:p w14:paraId="73CEBC5D">
      <w:pPr>
        <w:ind w:firstLine="640" w:firstLineChars="200"/>
        <w:rPr>
          <w:rFonts w:hint="eastAsia" w:ascii="仿宋_GB2312" w:eastAsia="仿宋_GB2312"/>
          <w:sz w:val="32"/>
          <w:szCs w:val="32"/>
        </w:rPr>
      </w:pPr>
      <w:r>
        <w:rPr>
          <w:rFonts w:hint="eastAsia" w:ascii="仿宋_GB2312" w:eastAsia="仿宋_GB2312"/>
          <w:sz w:val="32"/>
          <w:szCs w:val="32"/>
        </w:rPr>
        <w:t>参考《标准化工作导则 第 1 部分：标准化文件的结构和起草规则》（GB/T 1.1—2020）的编制要求，并借鉴安徽、江苏、广东等省份相关标准的经验，结合河南省产业发展实际制定。</w:t>
      </w:r>
    </w:p>
    <w:p w14:paraId="47A52A3D">
      <w:pPr>
        <w:pStyle w:val="37"/>
        <w:rPr>
          <w:rFonts w:hint="eastAsia"/>
        </w:rPr>
      </w:pPr>
      <w:r>
        <w:rPr>
          <w:rFonts w:hint="eastAsia"/>
        </w:rPr>
        <w:t>三、编制过程</w:t>
      </w:r>
    </w:p>
    <w:p w14:paraId="48A2EC40">
      <w:pPr>
        <w:pStyle w:val="37"/>
        <w:rPr>
          <w:rFonts w:hint="eastAsia" w:ascii="仿宋_GB2312" w:hAnsi="Arial" w:eastAsia="仿宋_GB2312" w:cs="Arial"/>
          <w:color w:val="000000"/>
          <w:kern w:val="0"/>
          <w:sz w:val="32"/>
          <w:szCs w:val="32"/>
          <w14:ligatures w14:val="none"/>
        </w:rPr>
      </w:pPr>
      <w:r>
        <w:rPr>
          <w:rFonts w:hint="eastAsia" w:ascii="仿宋_GB2312" w:hAnsi="Arial" w:eastAsia="仿宋_GB2312" w:cs="Arial"/>
          <w:color w:val="000000"/>
          <w:kern w:val="0"/>
          <w:sz w:val="32"/>
          <w:szCs w:val="32"/>
          <w14:ligatures w14:val="none"/>
        </w:rPr>
        <w:t>本规范编制周期为2026年</w:t>
      </w:r>
      <w:r>
        <w:rPr>
          <w:rFonts w:hint="eastAsia" w:ascii="仿宋_GB2312" w:hAnsi="Arial" w:eastAsia="仿宋_GB2312" w:cs="Arial"/>
          <w:color w:val="000000"/>
          <w:kern w:val="0"/>
          <w:sz w:val="32"/>
          <w:szCs w:val="32"/>
          <w:lang w:val="en-US" w:eastAsia="zh-CN"/>
          <w14:ligatures w14:val="none"/>
        </w:rPr>
        <w:t>2</w:t>
      </w:r>
      <w:r>
        <w:rPr>
          <w:rFonts w:hint="eastAsia" w:ascii="仿宋_GB2312" w:hAnsi="Arial" w:eastAsia="仿宋_GB2312" w:cs="Arial"/>
          <w:color w:val="000000"/>
          <w:kern w:val="0"/>
          <w:sz w:val="32"/>
          <w:szCs w:val="32"/>
          <w14:ligatures w14:val="none"/>
        </w:rPr>
        <w:t>月至2026年5月，</w:t>
      </w:r>
      <w:r>
        <w:rPr>
          <w:rFonts w:hint="eastAsia" w:ascii="仿宋_GB2312" w:eastAsia="仿宋_GB2312"/>
        </w:rPr>
        <w:t>河南省标准化协会</w:t>
      </w:r>
      <w:r>
        <w:rPr>
          <w:rFonts w:hint="eastAsia" w:ascii="仿宋_GB2312" w:eastAsia="仿宋_GB2312"/>
          <w:lang w:val="en-US" w:eastAsia="zh-CN"/>
        </w:rPr>
        <w:t>受河南省市场监督管理局委托，组织</w:t>
      </w:r>
      <w:r>
        <w:rPr>
          <w:rFonts w:hint="eastAsia" w:ascii="仿宋_GB2312" w:eastAsia="仿宋_GB2312"/>
        </w:rPr>
        <w:t>河南省知识产权维权保护中心、郑州睿是知识产权研究院</w:t>
      </w:r>
      <w:r>
        <w:rPr>
          <w:rFonts w:hint="eastAsia" w:ascii="仿宋_GB2312" w:eastAsia="仿宋_GB2312"/>
          <w:lang w:val="en-US" w:eastAsia="zh-CN"/>
        </w:rPr>
        <w:t>等单位</w:t>
      </w:r>
      <w:r>
        <w:rPr>
          <w:rFonts w:hint="eastAsia" w:ascii="仿宋_GB2312" w:eastAsia="仿宋_GB2312"/>
        </w:rPr>
        <w:t>，</w:t>
      </w:r>
      <w:r>
        <w:rPr>
          <w:rFonts w:hint="eastAsia" w:ascii="仿宋_GB2312" w:eastAsia="仿宋_GB2312"/>
          <w:lang w:val="en-US" w:eastAsia="zh-CN"/>
        </w:rPr>
        <w:t>并</w:t>
      </w:r>
      <w:r>
        <w:rPr>
          <w:rFonts w:hint="eastAsia" w:ascii="仿宋_GB2312" w:eastAsia="仿宋_GB2312"/>
        </w:rPr>
        <w:t>组建专项编制工作组，分五个阶段推进编制工作，具体过程如下：</w:t>
      </w:r>
    </w:p>
    <w:p w14:paraId="59A0C58B">
      <w:pPr>
        <w:widowControl/>
        <w:spacing w:line="360" w:lineRule="atLeast"/>
        <w:ind w:firstLine="643" w:firstLineChars="200"/>
        <w:jc w:val="left"/>
        <w:rPr>
          <w:rFonts w:hint="eastAsia" w:ascii="仿宋_GB2312" w:hAnsi="Arial" w:eastAsia="仿宋_GB2312" w:cs="Arial"/>
          <w:b/>
          <w:bCs/>
          <w:color w:val="000000"/>
          <w:kern w:val="0"/>
          <w:sz w:val="32"/>
          <w:szCs w:val="32"/>
          <w14:ligatures w14:val="none"/>
        </w:rPr>
      </w:pPr>
      <w:r>
        <w:rPr>
          <w:rFonts w:hint="eastAsia" w:ascii="仿宋_GB2312" w:hAnsi="Arial" w:eastAsia="仿宋_GB2312" w:cs="Arial"/>
          <w:b/>
          <w:bCs/>
          <w:color w:val="000000"/>
          <w:kern w:val="0"/>
          <w:sz w:val="32"/>
          <w:szCs w:val="32"/>
          <w:lang w:val="en-US" w:eastAsia="zh-CN"/>
          <w14:ligatures w14:val="none"/>
        </w:rPr>
        <w:t>1、</w:t>
      </w:r>
      <w:r>
        <w:rPr>
          <w:rFonts w:hint="eastAsia" w:ascii="仿宋_GB2312" w:hAnsi="Arial" w:eastAsia="仿宋_GB2312" w:cs="Arial"/>
          <w:b/>
          <w:bCs/>
          <w:color w:val="000000"/>
          <w:kern w:val="0"/>
          <w:sz w:val="32"/>
          <w:szCs w:val="32"/>
          <w14:ligatures w14:val="none"/>
        </w:rPr>
        <w:t>启动筹备阶段（2026年</w:t>
      </w:r>
      <w:r>
        <w:rPr>
          <w:rFonts w:hint="eastAsia" w:ascii="仿宋_GB2312" w:hAnsi="Arial" w:eastAsia="仿宋_GB2312" w:cs="Arial"/>
          <w:b/>
          <w:bCs/>
          <w:color w:val="000000"/>
          <w:kern w:val="0"/>
          <w:sz w:val="32"/>
          <w:szCs w:val="32"/>
          <w:lang w:val="en-US" w:eastAsia="zh-CN"/>
          <w14:ligatures w14:val="none"/>
        </w:rPr>
        <w:t>2</w:t>
      </w:r>
      <w:r>
        <w:rPr>
          <w:rFonts w:hint="eastAsia" w:ascii="仿宋_GB2312" w:hAnsi="Arial" w:eastAsia="仿宋_GB2312" w:cs="Arial"/>
          <w:b/>
          <w:bCs/>
          <w:color w:val="000000"/>
          <w:kern w:val="0"/>
          <w:sz w:val="32"/>
          <w:szCs w:val="32"/>
          <w14:ligatures w14:val="none"/>
        </w:rPr>
        <w:t>月）</w:t>
      </w:r>
    </w:p>
    <w:p w14:paraId="3CF59434">
      <w:pPr>
        <w:widowControl/>
        <w:spacing w:line="360" w:lineRule="atLeast"/>
        <w:ind w:firstLine="640" w:firstLineChars="200"/>
        <w:jc w:val="left"/>
        <w:rPr>
          <w:rFonts w:hint="eastAsia" w:ascii="仿宋_GB2312" w:hAnsi="Arial" w:eastAsia="仿宋_GB2312" w:cs="Arial"/>
          <w:color w:val="000000"/>
          <w:kern w:val="0"/>
          <w:sz w:val="32"/>
          <w:szCs w:val="32"/>
          <w14:ligatures w14:val="none"/>
        </w:rPr>
      </w:pPr>
      <w:r>
        <w:rPr>
          <w:rFonts w:hint="eastAsia" w:ascii="仿宋_GB2312" w:hAnsi="Arial" w:eastAsia="仿宋_GB2312" w:cs="Arial"/>
          <w:color w:val="000000"/>
          <w:kern w:val="0"/>
          <w:sz w:val="32"/>
          <w:szCs w:val="32"/>
          <w14:ligatures w14:val="none"/>
        </w:rPr>
        <w:t>成立编制工作组，系统收集国家和省级知识产权政策文件、国内其他省份高价值专利培育评价相关标准、河南省高价值专利培育中心建设管理办法等资料，开展前期研究，梳理</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评价的核心维度和关键指标。</w:t>
      </w:r>
    </w:p>
    <w:p w14:paraId="503B1851">
      <w:pPr>
        <w:widowControl/>
        <w:spacing w:line="360" w:lineRule="atLeast"/>
        <w:ind w:firstLine="643" w:firstLineChars="200"/>
        <w:jc w:val="left"/>
        <w:rPr>
          <w:rFonts w:hint="eastAsia" w:ascii="仿宋_GB2312" w:hAnsi="Arial" w:eastAsia="仿宋_GB2312" w:cs="Arial"/>
          <w:b/>
          <w:bCs/>
          <w:color w:val="000000"/>
          <w:kern w:val="0"/>
          <w:sz w:val="32"/>
          <w:szCs w:val="32"/>
          <w14:ligatures w14:val="none"/>
        </w:rPr>
      </w:pPr>
      <w:r>
        <w:rPr>
          <w:rFonts w:hint="eastAsia" w:ascii="仿宋_GB2312" w:hAnsi="Arial" w:eastAsia="仿宋_GB2312" w:cs="Arial"/>
          <w:b/>
          <w:bCs/>
          <w:color w:val="000000"/>
          <w:kern w:val="0"/>
          <w:sz w:val="32"/>
          <w:szCs w:val="32"/>
          <w:lang w:val="en-US" w:eastAsia="zh-CN"/>
          <w14:ligatures w14:val="none"/>
        </w:rPr>
        <w:t>2、</w:t>
      </w:r>
      <w:r>
        <w:rPr>
          <w:rFonts w:hint="eastAsia" w:ascii="仿宋_GB2312" w:hAnsi="Arial" w:eastAsia="仿宋_GB2312" w:cs="Arial"/>
          <w:b/>
          <w:bCs/>
          <w:color w:val="000000"/>
          <w:kern w:val="0"/>
          <w:sz w:val="32"/>
          <w:szCs w:val="32"/>
          <w14:ligatures w14:val="none"/>
        </w:rPr>
        <w:t>调研阶段（2026年</w:t>
      </w:r>
      <w:r>
        <w:rPr>
          <w:rFonts w:hint="eastAsia" w:ascii="仿宋_GB2312" w:hAnsi="Arial" w:eastAsia="仿宋_GB2312" w:cs="Arial"/>
          <w:b/>
          <w:bCs/>
          <w:color w:val="000000"/>
          <w:kern w:val="0"/>
          <w:sz w:val="32"/>
          <w:szCs w:val="32"/>
          <w:lang w:val="en-US" w:eastAsia="zh-CN"/>
          <w14:ligatures w14:val="none"/>
        </w:rPr>
        <w:t>2</w:t>
      </w:r>
      <w:r>
        <w:rPr>
          <w:rFonts w:hint="eastAsia" w:ascii="仿宋_GB2312" w:hAnsi="Arial" w:eastAsia="仿宋_GB2312" w:cs="Arial"/>
          <w:b/>
          <w:bCs/>
          <w:color w:val="000000"/>
          <w:kern w:val="0"/>
          <w:sz w:val="32"/>
          <w:szCs w:val="32"/>
          <w14:ligatures w14:val="none"/>
        </w:rPr>
        <w:t>-</w:t>
      </w:r>
      <w:r>
        <w:rPr>
          <w:rFonts w:hint="eastAsia" w:ascii="仿宋_GB2312" w:hAnsi="Arial" w:eastAsia="仿宋_GB2312" w:cs="Arial"/>
          <w:b/>
          <w:bCs/>
          <w:color w:val="000000"/>
          <w:kern w:val="0"/>
          <w:sz w:val="32"/>
          <w:szCs w:val="32"/>
          <w:lang w:val="en-US" w:eastAsia="zh-CN"/>
          <w14:ligatures w14:val="none"/>
        </w:rPr>
        <w:t>3</w:t>
      </w:r>
      <w:r>
        <w:rPr>
          <w:rFonts w:hint="eastAsia" w:ascii="仿宋_GB2312" w:hAnsi="Arial" w:eastAsia="仿宋_GB2312" w:cs="Arial"/>
          <w:b/>
          <w:bCs/>
          <w:color w:val="000000"/>
          <w:kern w:val="0"/>
          <w:sz w:val="32"/>
          <w:szCs w:val="32"/>
          <w14:ligatures w14:val="none"/>
        </w:rPr>
        <w:t>月）</w:t>
      </w:r>
    </w:p>
    <w:p w14:paraId="34435720">
      <w:pPr>
        <w:widowControl/>
        <w:spacing w:line="360" w:lineRule="atLeast"/>
        <w:ind w:firstLine="640" w:firstLineChars="200"/>
        <w:jc w:val="left"/>
        <w:rPr>
          <w:rFonts w:hint="eastAsia" w:ascii="仿宋_GB2312" w:hAnsi="Arial" w:eastAsia="仿宋_GB2312" w:cs="Arial"/>
          <w:color w:val="000000"/>
          <w:kern w:val="0"/>
          <w:sz w:val="32"/>
          <w:szCs w:val="32"/>
          <w14:ligatures w14:val="none"/>
        </w:rPr>
      </w:pPr>
      <w:r>
        <w:rPr>
          <w:rFonts w:hint="eastAsia" w:ascii="仿宋_GB2312" w:hAnsi="Arial" w:eastAsia="仿宋_GB2312" w:cs="Arial"/>
          <w:color w:val="000000"/>
          <w:kern w:val="0"/>
          <w:sz w:val="32"/>
          <w:szCs w:val="32"/>
          <w14:ligatures w14:val="none"/>
        </w:rPr>
        <w:t>深入河南省内已开展高价值专利培育工作的企业、高校、科研院所、三级甲等医院和知识产权服务机构开展实地调研，了解培育中心运行现状、</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评价痛点及实际需求，收集各方对</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指标、</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流程、结果应用的意见建议。</w:t>
      </w:r>
    </w:p>
    <w:p w14:paraId="5EF491E8">
      <w:pPr>
        <w:widowControl/>
        <w:spacing w:line="360" w:lineRule="atLeast"/>
        <w:ind w:firstLine="643" w:firstLineChars="200"/>
        <w:jc w:val="left"/>
        <w:rPr>
          <w:rFonts w:hint="eastAsia" w:ascii="仿宋_GB2312" w:hAnsi="Arial" w:eastAsia="仿宋_GB2312" w:cs="Arial"/>
          <w:b/>
          <w:bCs/>
          <w:color w:val="000000"/>
          <w:kern w:val="0"/>
          <w:sz w:val="32"/>
          <w:szCs w:val="32"/>
          <w14:ligatures w14:val="none"/>
        </w:rPr>
      </w:pPr>
      <w:r>
        <w:rPr>
          <w:rFonts w:hint="eastAsia" w:ascii="仿宋_GB2312" w:hAnsi="Arial" w:eastAsia="仿宋_GB2312" w:cs="Arial"/>
          <w:b/>
          <w:bCs/>
          <w:color w:val="000000"/>
          <w:kern w:val="0"/>
          <w:sz w:val="32"/>
          <w:szCs w:val="32"/>
          <w:lang w:val="en-US" w:eastAsia="zh-CN"/>
          <w14:ligatures w14:val="none"/>
        </w:rPr>
        <w:t>3、</w:t>
      </w:r>
      <w:r>
        <w:rPr>
          <w:rFonts w:hint="eastAsia" w:ascii="仿宋_GB2312" w:hAnsi="Arial" w:eastAsia="仿宋_GB2312" w:cs="Arial"/>
          <w:b/>
          <w:bCs/>
          <w:color w:val="000000"/>
          <w:kern w:val="0"/>
          <w:sz w:val="32"/>
          <w:szCs w:val="32"/>
          <w14:ligatures w14:val="none"/>
        </w:rPr>
        <w:t>立项论证阶段（2026年</w:t>
      </w:r>
      <w:r>
        <w:rPr>
          <w:rFonts w:hint="eastAsia" w:ascii="仿宋_GB2312" w:hAnsi="Arial" w:eastAsia="仿宋_GB2312" w:cs="Arial"/>
          <w:b/>
          <w:bCs/>
          <w:color w:val="000000"/>
          <w:kern w:val="0"/>
          <w:sz w:val="32"/>
          <w:szCs w:val="32"/>
          <w:lang w:val="en-US" w:eastAsia="zh-CN"/>
          <w14:ligatures w14:val="none"/>
        </w:rPr>
        <w:t>3</w:t>
      </w:r>
      <w:r>
        <w:rPr>
          <w:rFonts w:hint="eastAsia" w:ascii="仿宋_GB2312" w:hAnsi="Arial" w:eastAsia="仿宋_GB2312" w:cs="Arial"/>
          <w:b/>
          <w:bCs/>
          <w:color w:val="000000"/>
          <w:kern w:val="0"/>
          <w:sz w:val="32"/>
          <w:szCs w:val="32"/>
          <w14:ligatures w14:val="none"/>
        </w:rPr>
        <w:t>月）</w:t>
      </w:r>
    </w:p>
    <w:p w14:paraId="16722977">
      <w:pPr>
        <w:widowControl/>
        <w:spacing w:line="360" w:lineRule="atLeast"/>
        <w:ind w:firstLine="640" w:firstLineChars="200"/>
        <w:jc w:val="left"/>
        <w:rPr>
          <w:rFonts w:hint="eastAsia" w:ascii="仿宋_GB2312" w:hAnsi="Arial" w:eastAsia="仿宋_GB2312" w:cs="Arial"/>
          <w:color w:val="000000"/>
          <w:kern w:val="0"/>
          <w:sz w:val="32"/>
          <w:szCs w:val="32"/>
          <w14:ligatures w14:val="none"/>
        </w:rPr>
      </w:pPr>
      <w:r>
        <w:rPr>
          <w:rFonts w:hint="eastAsia" w:ascii="仿宋_GB2312" w:hAnsi="Arial" w:eastAsia="仿宋_GB2312" w:cs="Arial"/>
          <w:color w:val="000000"/>
          <w:kern w:val="0"/>
          <w:sz w:val="32"/>
          <w:szCs w:val="32"/>
          <w14:ligatures w14:val="none"/>
        </w:rPr>
        <w:t>河南省标准化协会于2026年3月10日组织召开标准立项论证会，对本标准的编制必要性、可行性、核心框架进行论证</w:t>
      </w:r>
      <w:r>
        <w:rPr>
          <w:rFonts w:hint="eastAsia" w:ascii="仿宋_GB2312" w:hAnsi="Arial" w:eastAsia="仿宋_GB2312" w:cs="Arial"/>
          <w:color w:val="000000"/>
          <w:kern w:val="0"/>
          <w:sz w:val="32"/>
          <w:szCs w:val="32"/>
          <w:lang w:eastAsia="zh-CN"/>
          <w14:ligatures w14:val="none"/>
        </w:rPr>
        <w:t>，</w:t>
      </w:r>
      <w:r>
        <w:rPr>
          <w:rFonts w:hint="eastAsia" w:ascii="仿宋_GB2312" w:hAnsi="Arial" w:eastAsia="仿宋_GB2312" w:cs="Arial"/>
          <w:color w:val="000000"/>
          <w:kern w:val="0"/>
          <w:sz w:val="32"/>
          <w:szCs w:val="32"/>
          <w14:ligatures w14:val="none"/>
        </w:rPr>
        <w:t>编制工作组根据论证意见进一步优化编制思路和指标设置。</w:t>
      </w:r>
    </w:p>
    <w:p w14:paraId="34AD6E9B">
      <w:pPr>
        <w:widowControl/>
        <w:spacing w:line="360" w:lineRule="atLeast"/>
        <w:ind w:firstLine="643" w:firstLineChars="200"/>
        <w:jc w:val="left"/>
        <w:rPr>
          <w:rFonts w:hint="eastAsia" w:ascii="仿宋_GB2312" w:hAnsi="Arial" w:eastAsia="仿宋_GB2312" w:cs="Arial"/>
          <w:color w:val="000000"/>
          <w:kern w:val="0"/>
          <w:sz w:val="32"/>
          <w:szCs w:val="32"/>
          <w14:ligatures w14:val="none"/>
        </w:rPr>
      </w:pPr>
      <w:r>
        <w:rPr>
          <w:rFonts w:hint="eastAsia" w:ascii="仿宋_GB2312" w:hAnsi="Arial" w:eastAsia="仿宋_GB2312" w:cs="Arial"/>
          <w:b/>
          <w:bCs/>
          <w:color w:val="000000"/>
          <w:kern w:val="0"/>
          <w:sz w:val="32"/>
          <w:szCs w:val="32"/>
          <w:lang w:val="en-US" w:eastAsia="zh-CN"/>
          <w14:ligatures w14:val="none"/>
        </w:rPr>
        <w:t>4、</w:t>
      </w:r>
      <w:r>
        <w:rPr>
          <w:rFonts w:hint="eastAsia" w:ascii="仿宋_GB2312" w:hAnsi="Arial" w:eastAsia="仿宋_GB2312" w:cs="Arial"/>
          <w:b/>
          <w:bCs/>
          <w:color w:val="000000"/>
          <w:kern w:val="0"/>
          <w:sz w:val="32"/>
          <w:szCs w:val="32"/>
          <w14:ligatures w14:val="none"/>
        </w:rPr>
        <w:t>草案编制阶段（2026年3月）</w:t>
      </w:r>
      <w:r>
        <w:rPr>
          <w:rFonts w:hint="eastAsia" w:ascii="仿宋_GB2312" w:hAnsi="Arial" w:eastAsia="仿宋_GB2312" w:cs="Arial"/>
          <w:color w:val="000000"/>
          <w:kern w:val="0"/>
          <w:sz w:val="32"/>
          <w:szCs w:val="32"/>
          <w14:ligatures w14:val="none"/>
        </w:rPr>
        <w:t>：结合调研结果、立项论证意见和编制依据，起草《高价值专利培育中心</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评价规范（</w:t>
      </w:r>
      <w:r>
        <w:rPr>
          <w:rFonts w:hint="eastAsia" w:ascii="仿宋_GB2312" w:hAnsi="Arial" w:eastAsia="仿宋_GB2312" w:cs="Arial"/>
          <w:color w:val="000000"/>
          <w:kern w:val="0"/>
          <w:sz w:val="32"/>
          <w:szCs w:val="32"/>
          <w:lang w:val="en-US" w:eastAsia="zh-CN"/>
          <w14:ligatures w14:val="none"/>
        </w:rPr>
        <w:t>工作组讨论稿</w:t>
      </w:r>
      <w:r>
        <w:rPr>
          <w:rFonts w:hint="eastAsia" w:ascii="仿宋_GB2312" w:hAnsi="Arial" w:eastAsia="仿宋_GB2312" w:cs="Arial"/>
          <w:color w:val="000000"/>
          <w:kern w:val="0"/>
          <w:sz w:val="32"/>
          <w:szCs w:val="32"/>
          <w14:ligatures w14:val="none"/>
        </w:rPr>
        <w:t>）》，明确</w:t>
      </w:r>
      <w:r>
        <w:rPr>
          <w:rFonts w:hint="eastAsia" w:ascii="仿宋_GB2312" w:hAnsi="Arial" w:eastAsia="仿宋_GB2312" w:cs="Arial"/>
          <w:color w:val="000000"/>
          <w:kern w:val="0"/>
          <w:sz w:val="32"/>
          <w:szCs w:val="32"/>
          <w:lang w:eastAsia="zh-CN"/>
          <w14:ligatures w14:val="none"/>
        </w:rPr>
        <w:t>绩效</w:t>
      </w:r>
      <w:r>
        <w:rPr>
          <w:rFonts w:hint="eastAsia" w:ascii="仿宋_GB2312" w:hAnsi="Arial" w:eastAsia="仿宋_GB2312" w:cs="Arial"/>
          <w:color w:val="000000"/>
          <w:kern w:val="0"/>
          <w:sz w:val="32"/>
          <w:szCs w:val="32"/>
          <w14:ligatures w14:val="none"/>
        </w:rPr>
        <w:t>评价的指标体系和</w:t>
      </w:r>
      <w:r>
        <w:rPr>
          <w:rFonts w:hint="eastAsia" w:ascii="仿宋_GB2312" w:hAnsi="Arial" w:eastAsia="仿宋_GB2312" w:cs="Arial"/>
          <w:color w:val="000000"/>
          <w:kern w:val="0"/>
          <w:sz w:val="32"/>
          <w:szCs w:val="32"/>
          <w:lang w:val="en-US" w:eastAsia="zh-CN"/>
          <w14:ligatures w14:val="none"/>
        </w:rPr>
        <w:t>评价</w:t>
      </w:r>
      <w:r>
        <w:rPr>
          <w:rFonts w:hint="eastAsia" w:ascii="仿宋_GB2312" w:hAnsi="Arial" w:eastAsia="仿宋_GB2312" w:cs="Arial"/>
          <w:color w:val="000000"/>
          <w:kern w:val="0"/>
          <w:sz w:val="32"/>
          <w:szCs w:val="32"/>
          <w14:ligatures w14:val="none"/>
        </w:rPr>
        <w:t>结果等内容；组织内部多次研讨和专家咨询，对草案进行修改完善，形成征求意见稿。</w:t>
      </w:r>
    </w:p>
    <w:p w14:paraId="3283BC6A">
      <w:pPr>
        <w:pStyle w:val="37"/>
        <w:ind w:firstLine="643"/>
        <w:rPr>
          <w:rFonts w:hint="eastAsia" w:ascii="仿宋_GB2312" w:eastAsia="仿宋_GB2312"/>
          <w:b/>
          <w:bCs/>
        </w:rPr>
      </w:pPr>
      <w:r>
        <w:rPr>
          <w:rFonts w:hint="eastAsia" w:ascii="仿宋_GB2312" w:eastAsia="仿宋_GB2312"/>
          <w:b/>
          <w:bCs/>
        </w:rPr>
        <w:t>5、</w:t>
      </w:r>
      <w:r>
        <w:rPr>
          <w:rFonts w:hint="eastAsia" w:ascii="仿宋_GB2312" w:eastAsia="仿宋_GB2312"/>
          <w:b/>
          <w:bCs/>
          <w:lang w:val="en-US" w:eastAsia="zh-CN"/>
        </w:rPr>
        <w:t>征求意见</w:t>
      </w:r>
      <w:r>
        <w:rPr>
          <w:rFonts w:hint="eastAsia" w:ascii="仿宋_GB2312" w:eastAsia="仿宋_GB2312"/>
          <w:b/>
          <w:bCs/>
        </w:rPr>
        <w:t>阶段（2026年</w:t>
      </w:r>
      <w:r>
        <w:rPr>
          <w:rFonts w:hint="eastAsia" w:ascii="仿宋_GB2312" w:eastAsia="仿宋_GB2312"/>
          <w:b/>
          <w:bCs/>
          <w:lang w:val="en-US" w:eastAsia="zh-CN"/>
        </w:rPr>
        <w:t>3</w:t>
      </w:r>
      <w:r>
        <w:rPr>
          <w:rFonts w:hint="eastAsia" w:ascii="仿宋_GB2312" w:eastAsia="仿宋_GB2312"/>
          <w:b/>
          <w:bCs/>
        </w:rPr>
        <w:t>月-</w:t>
      </w:r>
      <w:r>
        <w:rPr>
          <w:rFonts w:hint="eastAsia" w:ascii="仿宋_GB2312" w:eastAsia="仿宋_GB2312"/>
          <w:b/>
          <w:bCs/>
          <w:lang w:val="en-US" w:eastAsia="zh-CN"/>
        </w:rPr>
        <w:t>4</w:t>
      </w:r>
      <w:r>
        <w:rPr>
          <w:rFonts w:hint="eastAsia" w:ascii="仿宋_GB2312" w:eastAsia="仿宋_GB2312"/>
          <w:b/>
          <w:bCs/>
        </w:rPr>
        <w:t>月）</w:t>
      </w:r>
    </w:p>
    <w:p w14:paraId="2599DF3C">
      <w:pPr>
        <w:pStyle w:val="37"/>
        <w:rPr>
          <w:rFonts w:hint="eastAsia" w:ascii="仿宋_GB2312" w:eastAsia="仿宋_GB2312"/>
        </w:rPr>
      </w:pPr>
      <w:r>
        <w:rPr>
          <w:rFonts w:hint="eastAsia" w:ascii="仿宋_GB2312" w:eastAsia="仿宋_GB2312"/>
        </w:rPr>
        <w:t>向河南省市场监督管理局、各市级知识产权管理部门、省内重点创新主体和知识产权服务机构征求意见，广泛吸纳各方建议；针对意见反馈对标准内容进行修改优化。</w:t>
      </w:r>
    </w:p>
    <w:p w14:paraId="62460701">
      <w:pPr>
        <w:pStyle w:val="37"/>
        <w:rPr>
          <w:rFonts w:hint="eastAsia"/>
        </w:rPr>
      </w:pPr>
      <w:r>
        <w:rPr>
          <w:rFonts w:hint="eastAsia"/>
        </w:rPr>
        <w:t>四、主要技术内容说明</w:t>
      </w:r>
    </w:p>
    <w:p w14:paraId="7F63333F">
      <w:pPr>
        <w:ind w:firstLine="640" w:firstLineChars="200"/>
        <w:rPr>
          <w:rFonts w:hint="eastAsia" w:ascii="仿宋_GB2312" w:eastAsia="仿宋_GB2312"/>
          <w:sz w:val="32"/>
          <w:szCs w:val="32"/>
        </w:rPr>
      </w:pPr>
      <w:r>
        <w:rPr>
          <w:rFonts w:hint="eastAsia" w:ascii="仿宋_GB2312" w:eastAsia="仿宋_GB2312"/>
          <w:sz w:val="32"/>
          <w:szCs w:val="32"/>
        </w:rPr>
        <w:t>本规范按照 GB/T 1.1—2020 的编制要求起草，整体分为范围、规范性引用文件、术语和定义、</w:t>
      </w:r>
      <w:r>
        <w:rPr>
          <w:rFonts w:hint="eastAsia" w:ascii="仿宋_GB2312" w:eastAsia="仿宋_GB2312"/>
          <w:sz w:val="32"/>
          <w:szCs w:val="32"/>
          <w:lang w:eastAsia="zh-CN"/>
        </w:rPr>
        <w:t>绩效</w:t>
      </w:r>
      <w:r>
        <w:rPr>
          <w:rFonts w:hint="eastAsia" w:ascii="仿宋_GB2312" w:eastAsia="仿宋_GB2312"/>
          <w:sz w:val="32"/>
          <w:szCs w:val="32"/>
        </w:rPr>
        <w:t>评价4 个核心章节，并附《河南省高价值专利培育中心</w:t>
      </w:r>
      <w:r>
        <w:rPr>
          <w:rFonts w:hint="eastAsia" w:ascii="仿宋_GB2312" w:eastAsia="仿宋_GB2312"/>
          <w:sz w:val="32"/>
          <w:szCs w:val="32"/>
          <w:lang w:val="en-US" w:eastAsia="zh-CN"/>
        </w:rPr>
        <w:t>绩效评价表</w:t>
      </w:r>
      <w:r>
        <w:rPr>
          <w:rFonts w:hint="eastAsia" w:ascii="仿宋_GB2312" w:eastAsia="仿宋_GB2312"/>
          <w:sz w:val="32"/>
          <w:szCs w:val="32"/>
        </w:rPr>
        <w:t>》规范性附录，各部分内容确定依据及核心要点如下：</w:t>
      </w:r>
    </w:p>
    <w:p w14:paraId="0718B177">
      <w:pPr>
        <w:pStyle w:val="43"/>
      </w:pPr>
      <w:r>
        <w:rPr>
          <w:rFonts w:hint="eastAsia"/>
        </w:rPr>
        <w:t>1、范围</w:t>
      </w:r>
    </w:p>
    <w:p w14:paraId="1BB1F95E">
      <w:pPr>
        <w:ind w:firstLine="640" w:firstLineChars="200"/>
        <w:rPr>
          <w:rFonts w:hint="eastAsia" w:ascii="仿宋_GB2312" w:eastAsia="仿宋_GB2312"/>
          <w:sz w:val="32"/>
          <w:szCs w:val="32"/>
        </w:rPr>
      </w:pPr>
      <w:r>
        <w:rPr>
          <w:rFonts w:hint="eastAsia" w:ascii="仿宋_GB2312" w:eastAsia="仿宋_GB2312"/>
          <w:sz w:val="32"/>
          <w:szCs w:val="32"/>
        </w:rPr>
        <w:t>明确本规范适用于河南省行政区域内高价值专利培育中心的</w:t>
      </w:r>
      <w:r>
        <w:rPr>
          <w:rFonts w:hint="eastAsia" w:ascii="仿宋_GB2312" w:eastAsia="仿宋_GB2312"/>
          <w:sz w:val="32"/>
          <w:szCs w:val="32"/>
          <w:lang w:eastAsia="zh-CN"/>
        </w:rPr>
        <w:t>绩效</w:t>
      </w:r>
      <w:r>
        <w:rPr>
          <w:rFonts w:hint="eastAsia" w:ascii="仿宋_GB2312" w:eastAsia="仿宋_GB2312"/>
          <w:sz w:val="32"/>
          <w:szCs w:val="32"/>
        </w:rPr>
        <w:t>评价工作，界定了标准的适用边界，确保</w:t>
      </w:r>
      <w:r>
        <w:rPr>
          <w:rFonts w:hint="eastAsia" w:ascii="仿宋_GB2312" w:eastAsia="仿宋_GB2312"/>
          <w:sz w:val="32"/>
          <w:szCs w:val="32"/>
          <w:lang w:eastAsia="zh-CN"/>
        </w:rPr>
        <w:t>绩效</w:t>
      </w:r>
      <w:r>
        <w:rPr>
          <w:rFonts w:hint="eastAsia" w:ascii="仿宋_GB2312" w:eastAsia="仿宋_GB2312"/>
          <w:sz w:val="32"/>
          <w:szCs w:val="32"/>
        </w:rPr>
        <w:t>工作的针对性和统一性。</w:t>
      </w:r>
    </w:p>
    <w:p w14:paraId="03C12B73">
      <w:pPr>
        <w:pStyle w:val="43"/>
      </w:pPr>
      <w:r>
        <w:rPr>
          <w:rFonts w:hint="eastAsia"/>
        </w:rPr>
        <w:t>2、规范性引用文件</w:t>
      </w:r>
    </w:p>
    <w:p w14:paraId="15B8455F">
      <w:pPr>
        <w:ind w:firstLine="640" w:firstLineChars="200"/>
        <w:rPr>
          <w:rFonts w:hint="eastAsia" w:ascii="仿宋_GB2312" w:eastAsia="仿宋_GB2312"/>
          <w:sz w:val="32"/>
          <w:szCs w:val="32"/>
        </w:rPr>
      </w:pPr>
      <w:r>
        <w:rPr>
          <w:rFonts w:hint="eastAsia" w:ascii="仿宋_GB2312" w:eastAsia="仿宋_GB2312"/>
          <w:sz w:val="32"/>
          <w:szCs w:val="32"/>
        </w:rPr>
        <w:t>因本规范核心内容结合河南省高价值专利培育工作实际和政策要求制定，无直接规范性引用文件，故明确本规范无规范性引用文件。</w:t>
      </w:r>
    </w:p>
    <w:p w14:paraId="1025791A">
      <w:pPr>
        <w:pStyle w:val="43"/>
      </w:pPr>
      <w:r>
        <w:rPr>
          <w:rFonts w:hint="eastAsia"/>
        </w:rPr>
        <w:t>3、术语和定义</w:t>
      </w:r>
    </w:p>
    <w:p w14:paraId="594A0628">
      <w:pPr>
        <w:ind w:firstLine="640" w:firstLineChars="200"/>
        <w:rPr>
          <w:rFonts w:hint="eastAsia" w:ascii="仿宋_GB2312" w:eastAsia="仿宋_GB2312"/>
          <w:sz w:val="32"/>
          <w:szCs w:val="32"/>
        </w:rPr>
      </w:pPr>
      <w:r>
        <w:rPr>
          <w:rFonts w:hint="eastAsia" w:ascii="仿宋_GB2312" w:eastAsia="仿宋_GB2312"/>
          <w:sz w:val="32"/>
          <w:szCs w:val="32"/>
        </w:rPr>
        <w:t>本规范未单独界定术语和定义。</w:t>
      </w:r>
    </w:p>
    <w:p w14:paraId="7C3BCB5D">
      <w:pPr>
        <w:pStyle w:val="43"/>
        <w:rPr>
          <w:rFonts w:hint="eastAsia" w:eastAsia="仿宋_GB2312"/>
          <w:lang w:val="en-US" w:eastAsia="zh-CN"/>
        </w:rPr>
      </w:pPr>
      <w:r>
        <w:rPr>
          <w:rFonts w:hint="eastAsia"/>
        </w:rPr>
        <w:t>4、评价</w:t>
      </w:r>
      <w:r>
        <w:rPr>
          <w:rFonts w:hint="eastAsia"/>
          <w:lang w:val="en-US" w:eastAsia="zh-CN"/>
        </w:rPr>
        <w:t>指标</w:t>
      </w:r>
    </w:p>
    <w:p w14:paraId="757D8688">
      <w:pPr>
        <w:ind w:firstLine="640" w:firstLineChars="200"/>
        <w:rPr>
          <w:rFonts w:hint="eastAsia" w:ascii="仿宋_GB2312" w:eastAsia="仿宋_GB2312"/>
          <w:sz w:val="32"/>
          <w:szCs w:val="32"/>
        </w:rPr>
      </w:pPr>
      <w:r>
        <w:rPr>
          <w:rFonts w:hint="eastAsia" w:ascii="仿宋_GB2312" w:eastAsia="仿宋_GB2312"/>
          <w:sz w:val="32"/>
          <w:szCs w:val="32"/>
        </w:rPr>
        <w:t>沿用并优化河南省高价值专利培育中心认定指标体系，设置</w:t>
      </w:r>
      <w:r>
        <w:rPr>
          <w:rFonts w:hint="eastAsia" w:ascii="仿宋_GB2312" w:eastAsia="仿宋_GB2312"/>
          <w:sz w:val="32"/>
          <w:szCs w:val="32"/>
          <w:lang w:val="en-US" w:eastAsia="zh-CN"/>
        </w:rPr>
        <w:t>中心运转</w:t>
      </w:r>
      <w:r>
        <w:rPr>
          <w:rFonts w:hint="eastAsia" w:ascii="仿宋_GB2312" w:eastAsia="仿宋_GB2312"/>
          <w:sz w:val="32"/>
          <w:szCs w:val="32"/>
        </w:rPr>
        <w:t>（2</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val="en-US" w:eastAsia="zh-CN"/>
        </w:rPr>
        <w:t>目标完成</w:t>
      </w:r>
      <w:r>
        <w:rPr>
          <w:rFonts w:hint="eastAsia" w:ascii="仿宋_GB2312" w:eastAsia="仿宋_GB2312"/>
          <w:sz w:val="32"/>
          <w:szCs w:val="32"/>
        </w:rPr>
        <w:t>（</w:t>
      </w:r>
      <w:r>
        <w:rPr>
          <w:rFonts w:hint="eastAsia" w:ascii="仿宋_GB2312" w:eastAsia="仿宋_GB2312"/>
          <w:sz w:val="32"/>
          <w:szCs w:val="32"/>
          <w:lang w:val="en-US" w:eastAsia="zh-CN"/>
        </w:rPr>
        <w:t>50</w:t>
      </w:r>
      <w:r>
        <w:rPr>
          <w:rFonts w:hint="eastAsia" w:ascii="仿宋_GB2312" w:eastAsia="仿宋_GB2312"/>
          <w:sz w:val="32"/>
          <w:szCs w:val="32"/>
        </w:rPr>
        <w:t>%）、</w:t>
      </w:r>
      <w:r>
        <w:rPr>
          <w:rFonts w:hint="eastAsia" w:ascii="仿宋_GB2312" w:eastAsia="仿宋_GB2312"/>
          <w:sz w:val="32"/>
          <w:szCs w:val="32"/>
          <w:lang w:val="en-US" w:eastAsia="zh-CN"/>
        </w:rPr>
        <w:t>经费管理</w:t>
      </w:r>
      <w:r>
        <w:rPr>
          <w:rFonts w:hint="eastAsia" w:ascii="仿宋_GB2312" w:eastAsia="仿宋_GB2312"/>
          <w:sz w:val="32"/>
          <w:szCs w:val="32"/>
        </w:rPr>
        <w:t>（</w:t>
      </w:r>
      <w:r>
        <w:rPr>
          <w:rFonts w:hint="eastAsia" w:ascii="仿宋_GB2312" w:eastAsia="仿宋_GB2312"/>
          <w:sz w:val="32"/>
          <w:szCs w:val="32"/>
          <w:lang w:val="en-US" w:eastAsia="zh-CN"/>
        </w:rPr>
        <w:t>30</w:t>
      </w:r>
      <w:r>
        <w:rPr>
          <w:rFonts w:hint="eastAsia" w:ascii="仿宋_GB2312" w:eastAsia="仿宋_GB2312"/>
          <w:sz w:val="32"/>
          <w:szCs w:val="32"/>
        </w:rPr>
        <w:t>%）等一级指标，各一级指标下设量化二级指标</w:t>
      </w:r>
      <w:r>
        <w:rPr>
          <w:rFonts w:hint="eastAsia" w:ascii="仿宋_GB2312" w:eastAsia="仿宋_GB2312"/>
          <w:sz w:val="32"/>
          <w:szCs w:val="32"/>
          <w:lang w:eastAsia="zh-CN"/>
        </w:rPr>
        <w:t>，</w:t>
      </w:r>
      <w:r>
        <w:rPr>
          <w:rFonts w:hint="eastAsia" w:ascii="仿宋_GB2312" w:eastAsia="仿宋_GB2312"/>
          <w:sz w:val="32"/>
          <w:szCs w:val="32"/>
        </w:rPr>
        <w:t>并明确评分标准，指标权重向专利培育目标、研发创新能力等核心维度倾斜，突出质量和效益导向。</w:t>
      </w:r>
    </w:p>
    <w:p w14:paraId="360EF797">
      <w:pPr>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5、</w:t>
      </w:r>
      <w:r>
        <w:rPr>
          <w:rFonts w:hint="eastAsia" w:ascii="仿宋_GB2312" w:eastAsia="仿宋_GB2312"/>
          <w:b/>
          <w:bCs/>
          <w:sz w:val="32"/>
          <w:szCs w:val="32"/>
        </w:rPr>
        <w:t>评估结果</w:t>
      </w:r>
    </w:p>
    <w:p w14:paraId="4C2193B8">
      <w:pPr>
        <w:ind w:firstLine="640" w:firstLineChars="200"/>
        <w:rPr>
          <w:rFonts w:hint="eastAsia" w:ascii="仿宋_GB2312" w:eastAsia="仿宋_GB2312"/>
          <w:sz w:val="32"/>
          <w:szCs w:val="32"/>
        </w:rPr>
      </w:pPr>
      <w:r>
        <w:rPr>
          <w:rFonts w:hint="eastAsia" w:ascii="仿宋_GB2312" w:eastAsia="仿宋_GB2312"/>
          <w:sz w:val="32"/>
          <w:szCs w:val="32"/>
        </w:rPr>
        <w:t>将评估结果划分为优秀、合格、不合格三个等级。</w:t>
      </w:r>
    </w:p>
    <w:p w14:paraId="37C039E6">
      <w:pPr>
        <w:pStyle w:val="43"/>
        <w:rPr>
          <w:rFonts w:hint="eastAsia" w:eastAsia="仿宋_GB2312"/>
          <w:lang w:val="en-US" w:eastAsia="zh-CN"/>
        </w:rPr>
      </w:pPr>
      <w:r>
        <w:rPr>
          <w:rFonts w:hint="eastAsia"/>
          <w:lang w:val="en-US" w:eastAsia="zh-CN"/>
        </w:rPr>
        <w:t>6</w:t>
      </w:r>
      <w:r>
        <w:rPr>
          <w:rFonts w:hint="eastAsia"/>
        </w:rPr>
        <w:t>、附录</w:t>
      </w:r>
    </w:p>
    <w:p w14:paraId="36969669">
      <w:pPr>
        <w:ind w:firstLine="640" w:firstLineChars="200"/>
        <w:rPr>
          <w:rFonts w:ascii="仿宋_GB2312" w:eastAsia="仿宋_GB2312"/>
          <w:sz w:val="32"/>
          <w:szCs w:val="32"/>
        </w:rPr>
      </w:pPr>
      <w:r>
        <w:rPr>
          <w:rFonts w:hint="eastAsia" w:ascii="仿宋_GB2312" w:eastAsia="仿宋_GB2312"/>
          <w:sz w:val="32"/>
          <w:szCs w:val="32"/>
        </w:rPr>
        <w:t>制定《河南省高价值专利培育中心</w:t>
      </w:r>
      <w:r>
        <w:rPr>
          <w:rFonts w:hint="eastAsia" w:ascii="仿宋_GB2312" w:eastAsia="仿宋_GB2312"/>
          <w:sz w:val="32"/>
          <w:szCs w:val="32"/>
          <w:lang w:val="en-US" w:eastAsia="zh-CN"/>
        </w:rPr>
        <w:t>绩效评价</w:t>
      </w:r>
      <w:r>
        <w:rPr>
          <w:rFonts w:hint="eastAsia" w:ascii="仿宋_GB2312" w:eastAsia="仿宋_GB2312"/>
          <w:sz w:val="32"/>
          <w:szCs w:val="32"/>
        </w:rPr>
        <w:t>指标》，对一级指标进行细化，明确各二级指标的分值、</w:t>
      </w:r>
      <w:r>
        <w:rPr>
          <w:rFonts w:hint="eastAsia" w:ascii="仿宋_GB2312" w:eastAsia="仿宋_GB2312"/>
          <w:sz w:val="32"/>
          <w:szCs w:val="32"/>
          <w:lang w:val="en-US" w:eastAsia="zh-CN"/>
        </w:rPr>
        <w:t>评分</w:t>
      </w:r>
      <w:r>
        <w:rPr>
          <w:rFonts w:hint="eastAsia" w:ascii="仿宋_GB2312" w:eastAsia="仿宋_GB2312"/>
          <w:sz w:val="32"/>
          <w:szCs w:val="32"/>
        </w:rPr>
        <w:t>内容，实现</w:t>
      </w:r>
      <w:r>
        <w:rPr>
          <w:rFonts w:hint="eastAsia" w:ascii="仿宋_GB2312" w:eastAsia="仿宋_GB2312"/>
          <w:sz w:val="32"/>
          <w:szCs w:val="32"/>
          <w:lang w:eastAsia="zh-CN"/>
        </w:rPr>
        <w:t>绩效</w:t>
      </w:r>
      <w:r>
        <w:rPr>
          <w:rFonts w:hint="eastAsia" w:ascii="仿宋_GB2312" w:eastAsia="仿宋_GB2312"/>
          <w:sz w:val="32"/>
          <w:szCs w:val="32"/>
        </w:rPr>
        <w:t>评价的量化，为</w:t>
      </w:r>
      <w:r>
        <w:rPr>
          <w:rFonts w:hint="eastAsia" w:ascii="仿宋_GB2312" w:eastAsia="仿宋_GB2312"/>
          <w:sz w:val="32"/>
          <w:szCs w:val="32"/>
          <w:lang w:eastAsia="zh-CN"/>
        </w:rPr>
        <w:t>绩效</w:t>
      </w:r>
      <w:r>
        <w:rPr>
          <w:rFonts w:hint="eastAsia" w:ascii="仿宋_GB2312" w:eastAsia="仿宋_GB2312"/>
          <w:sz w:val="32"/>
          <w:szCs w:val="32"/>
        </w:rPr>
        <w:t>工作提供具体操作依据。</w:t>
      </w:r>
    </w:p>
    <w:p w14:paraId="2A2B52A5">
      <w:pPr>
        <w:pStyle w:val="37"/>
        <w:rPr>
          <w:rFonts w:hint="eastAsia"/>
        </w:rPr>
      </w:pPr>
      <w:r>
        <w:rPr>
          <w:rFonts w:hint="eastAsia"/>
        </w:rPr>
        <w:t>五、采标情况</w:t>
      </w:r>
    </w:p>
    <w:p w14:paraId="7351E36F">
      <w:pPr>
        <w:pStyle w:val="43"/>
      </w:pPr>
      <w:r>
        <w:rPr>
          <w:rFonts w:hint="eastAsia"/>
        </w:rPr>
        <w:t>1、国际采标</w:t>
      </w:r>
    </w:p>
    <w:p w14:paraId="5B0E4BDF">
      <w:pPr>
        <w:ind w:firstLine="640" w:firstLineChars="200"/>
        <w:rPr>
          <w:rFonts w:hint="eastAsia" w:ascii="仿宋_GB2312" w:eastAsia="仿宋_GB2312"/>
          <w:sz w:val="32"/>
          <w:szCs w:val="32"/>
        </w:rPr>
      </w:pPr>
      <w:r>
        <w:rPr>
          <w:rFonts w:hint="eastAsia" w:ascii="仿宋_GB2312" w:eastAsia="仿宋_GB2312"/>
          <w:sz w:val="32"/>
          <w:szCs w:val="32"/>
        </w:rPr>
        <w:t>国外目前暂无高价值专利培育中心建设及</w:t>
      </w:r>
      <w:r>
        <w:rPr>
          <w:rFonts w:hint="eastAsia" w:ascii="仿宋_GB2312" w:eastAsia="仿宋_GB2312"/>
          <w:sz w:val="32"/>
          <w:szCs w:val="32"/>
          <w:lang w:eastAsia="zh-CN"/>
        </w:rPr>
        <w:t>绩效</w:t>
      </w:r>
      <w:r>
        <w:rPr>
          <w:rFonts w:hint="eastAsia" w:ascii="仿宋_GB2312" w:eastAsia="仿宋_GB2312"/>
          <w:sz w:val="32"/>
          <w:szCs w:val="32"/>
        </w:rPr>
        <w:t>评价相关专项工作和标准，本规范无国际标准采标情况。</w:t>
      </w:r>
    </w:p>
    <w:p w14:paraId="6575EF23">
      <w:pPr>
        <w:pStyle w:val="43"/>
      </w:pPr>
      <w:r>
        <w:rPr>
          <w:rFonts w:hint="eastAsia"/>
        </w:rPr>
        <w:t>2、国内采标</w:t>
      </w:r>
    </w:p>
    <w:p w14:paraId="4E81923D">
      <w:pPr>
        <w:ind w:firstLine="640" w:firstLineChars="200"/>
        <w:rPr>
          <w:rFonts w:hint="eastAsia" w:ascii="仿宋_GB2312" w:eastAsia="仿宋_GB2312"/>
          <w:sz w:val="32"/>
          <w:szCs w:val="32"/>
        </w:rPr>
      </w:pPr>
      <w:r>
        <w:rPr>
          <w:rFonts w:hint="eastAsia" w:ascii="仿宋_GB2312" w:eastAsia="仿宋_GB2312"/>
          <w:sz w:val="32"/>
          <w:szCs w:val="32"/>
        </w:rPr>
        <w:t>国家知识产权局尚未出台统一的高价值专利培育中心</w:t>
      </w:r>
      <w:r>
        <w:rPr>
          <w:rFonts w:hint="eastAsia" w:ascii="仿宋_GB2312" w:eastAsia="仿宋_GB2312"/>
          <w:sz w:val="32"/>
          <w:szCs w:val="32"/>
          <w:lang w:eastAsia="zh-CN"/>
        </w:rPr>
        <w:t>绩效</w:t>
      </w:r>
      <w:r>
        <w:rPr>
          <w:rFonts w:hint="eastAsia" w:ascii="仿宋_GB2312" w:eastAsia="仿宋_GB2312"/>
          <w:sz w:val="32"/>
          <w:szCs w:val="32"/>
        </w:rPr>
        <w:t>评价国家标准，相关工作主要由地方知识产权管理部门推进。目前，国内安徽、江苏、广东、河北等省份已发布高价值专利培育相关地方标准，分别为《高价值发明专利培育中心管理规范》（DB34/T 5148—2025）、《高价值专利培育工作规范》（DB32/T 4308—2022）、《高价值专利培育布局工作指南》（DB44/T2363-2022）、《高价值专利培育工作指南》（DB13/T6084-2025）。本规范未直接采用上述地方标准，而是借鉴其评价体系的编制思路和核心框架，结合河南省产业发展实际、高价值专利培育中心建设管理办法要求，制定符合河南省情的</w:t>
      </w:r>
      <w:r>
        <w:rPr>
          <w:rFonts w:hint="eastAsia" w:ascii="仿宋_GB2312" w:eastAsia="仿宋_GB2312"/>
          <w:sz w:val="32"/>
          <w:szCs w:val="32"/>
          <w:lang w:eastAsia="zh-CN"/>
        </w:rPr>
        <w:t>绩效</w:t>
      </w:r>
      <w:r>
        <w:rPr>
          <w:rFonts w:hint="eastAsia" w:ascii="仿宋_GB2312" w:eastAsia="仿宋_GB2312"/>
          <w:sz w:val="32"/>
          <w:szCs w:val="32"/>
        </w:rPr>
        <w:t>评价指标和流程，核心指标、权重设置和结果应用均贴合河南省创新主体实际和产业发展需求。</w:t>
      </w:r>
    </w:p>
    <w:p w14:paraId="5BD3FB09">
      <w:pPr>
        <w:pStyle w:val="37"/>
        <w:rPr>
          <w:rFonts w:hint="eastAsia"/>
        </w:rPr>
      </w:pPr>
      <w:r>
        <w:rPr>
          <w:rFonts w:hint="eastAsia"/>
        </w:rPr>
        <w:t>六、重大意见分歧的处理</w:t>
      </w:r>
    </w:p>
    <w:p w14:paraId="7B5C70AC">
      <w:pPr>
        <w:pStyle w:val="37"/>
        <w:rPr>
          <w:rFonts w:hint="eastAsia" w:ascii="仿宋_GB2312" w:eastAsia="仿宋_GB2312"/>
          <w:sz w:val="32"/>
          <w:szCs w:val="32"/>
          <w:lang w:val="en-US" w:eastAsia="zh-CN"/>
        </w:rPr>
      </w:pPr>
      <w:r>
        <w:rPr>
          <w:rFonts w:hint="eastAsia" w:ascii="仿宋_GB2312" w:eastAsia="仿宋_GB2312"/>
          <w:sz w:val="32"/>
          <w:szCs w:val="32"/>
          <w:lang w:val="en-US" w:eastAsia="zh-CN"/>
        </w:rPr>
        <w:t>无</w:t>
      </w:r>
    </w:p>
    <w:p w14:paraId="24FF3086">
      <w:pPr>
        <w:pStyle w:val="37"/>
        <w:rPr>
          <w:rFonts w:hint="eastAsia"/>
        </w:rPr>
      </w:pPr>
      <w:r>
        <w:rPr>
          <w:rFonts w:hint="eastAsia"/>
        </w:rPr>
        <w:t>七、与国家法律法规和强制性标准的关系</w:t>
      </w:r>
    </w:p>
    <w:p w14:paraId="79ADA01A">
      <w:pPr>
        <w:ind w:firstLine="640" w:firstLineChars="200"/>
        <w:rPr>
          <w:rFonts w:hint="eastAsia" w:ascii="仿宋_GB2312" w:eastAsia="仿宋_GB2312"/>
          <w:sz w:val="32"/>
          <w:szCs w:val="32"/>
        </w:rPr>
      </w:pPr>
      <w:r>
        <w:rPr>
          <w:rFonts w:hint="eastAsia" w:ascii="仿宋_GB2312" w:eastAsia="仿宋_GB2312"/>
          <w:sz w:val="32"/>
          <w:szCs w:val="32"/>
        </w:rPr>
        <w:t>本标准的编制严格遵循《中华人民共和国专利法》《知识产权强国建设纲要 (2021-2035 年)》等国家相关法律法规和政策文件要求，与国家知识产权领域的强制性标准、推荐性标准无冲突。同时，本标准紧密衔接《河南省知识产权强省建设纲要 (2021-2035 年)》《河南省加快专利转化运用实施方案》（豫政办〔2025〕70 号）等省级政策文件，与河南省现行的知识产权管理相关规定协调一致。</w:t>
      </w:r>
    </w:p>
    <w:p w14:paraId="53485F90">
      <w:pPr>
        <w:pStyle w:val="37"/>
        <w:rPr>
          <w:rFonts w:hint="eastAsia"/>
        </w:rPr>
      </w:pPr>
      <w:r>
        <w:rPr>
          <w:rFonts w:hint="eastAsia"/>
        </w:rPr>
        <w:t>八、标准实施的建议</w:t>
      </w:r>
    </w:p>
    <w:p w14:paraId="086F1D70">
      <w:pPr>
        <w:ind w:firstLine="640" w:firstLineChars="200"/>
        <w:rPr>
          <w:rFonts w:hint="eastAsia" w:ascii="仿宋_GB2312" w:eastAsia="仿宋_GB2312"/>
          <w:sz w:val="32"/>
          <w:szCs w:val="32"/>
        </w:rPr>
      </w:pPr>
      <w:r>
        <w:rPr>
          <w:rFonts w:hint="eastAsia" w:ascii="仿宋_GB2312" w:eastAsia="仿宋_GB2312"/>
          <w:sz w:val="32"/>
          <w:szCs w:val="32"/>
        </w:rPr>
        <w:t>为确保本标准落地实施、发挥实效，推动河南省高价值专利培育中心规范化、高质量建设，提出以下实施建议：</w:t>
      </w:r>
    </w:p>
    <w:p w14:paraId="14CB6261">
      <w:pPr>
        <w:ind w:firstLine="640" w:firstLineChars="200"/>
        <w:rPr>
          <w:rFonts w:hint="eastAsia" w:ascii="仿宋_GB2312" w:eastAsia="仿宋_GB2312"/>
          <w:sz w:val="32"/>
          <w:szCs w:val="32"/>
        </w:rPr>
      </w:pPr>
      <w:r>
        <w:rPr>
          <w:rFonts w:hint="eastAsia" w:ascii="仿宋_GB2312" w:eastAsia="仿宋_GB2312"/>
          <w:sz w:val="32"/>
          <w:szCs w:val="32"/>
        </w:rPr>
        <w:t>开展标准培训：组织相关行业的从业人员进行标准培训，确保熟悉标准的内容和要求，能够正确应用标准。</w:t>
      </w:r>
    </w:p>
    <w:p w14:paraId="4C67C164">
      <w:pPr>
        <w:ind w:firstLine="640" w:firstLineChars="200"/>
        <w:rPr>
          <w:rFonts w:hint="eastAsia" w:ascii="仿宋_GB2312" w:eastAsia="仿宋_GB2312"/>
          <w:sz w:val="32"/>
          <w:szCs w:val="32"/>
        </w:rPr>
      </w:pPr>
      <w:r>
        <w:rPr>
          <w:rFonts w:hint="eastAsia" w:ascii="仿宋_GB2312" w:eastAsia="仿宋_GB2312"/>
          <w:sz w:val="32"/>
          <w:szCs w:val="32"/>
        </w:rPr>
        <w:t>加强宣传推广：通过行业协会、学术会议、网络平台等渠道，宣传标准的意义和作用，提高社会对本标准的关注度。</w:t>
      </w:r>
    </w:p>
    <w:p w14:paraId="30494A6A">
      <w:pPr>
        <w:ind w:firstLine="640" w:firstLineChars="200"/>
        <w:rPr>
          <w:rFonts w:hint="eastAsia" w:ascii="仿宋_GB2312" w:eastAsia="仿宋_GB2312"/>
          <w:sz w:val="32"/>
          <w:szCs w:val="32"/>
        </w:rPr>
      </w:pPr>
      <w:r>
        <w:rPr>
          <w:rFonts w:hint="eastAsia" w:ascii="仿宋_GB2312" w:eastAsia="仿宋_GB2312"/>
          <w:sz w:val="32"/>
          <w:szCs w:val="32"/>
        </w:rPr>
        <w:t>建立监督机制：定期对标准的实施情况进行监督检查，及时发现和解决标准实施过程中存在的问题，确保标准实施的有效性。</w:t>
      </w:r>
    </w:p>
    <w:p w14:paraId="20D3493B">
      <w:pPr>
        <w:ind w:firstLine="640" w:firstLineChars="200"/>
        <w:rPr>
          <w:rFonts w:hint="eastAsia" w:ascii="仿宋_GB2312" w:eastAsia="仿宋_GB2312"/>
          <w:sz w:val="32"/>
          <w:szCs w:val="32"/>
        </w:rPr>
      </w:pPr>
      <w:r>
        <w:rPr>
          <w:rFonts w:hint="eastAsia" w:ascii="仿宋_GB2312" w:eastAsia="仿宋_GB2312"/>
          <w:sz w:val="32"/>
          <w:szCs w:val="32"/>
        </w:rPr>
        <w:t>持续改进完善：随着技术的发展和应用场景的变化，及时对标准进行修订和完善，保持标准的先进性和适用性。</w:t>
      </w:r>
    </w:p>
    <w:p w14:paraId="77858235">
      <w:pPr>
        <w:pStyle w:val="37"/>
        <w:rPr>
          <w:rFonts w:hint="eastAsia"/>
        </w:rPr>
      </w:pPr>
      <w:r>
        <w:rPr>
          <w:rFonts w:hint="eastAsia"/>
        </w:rPr>
        <w:t>九、其他应予说明的事项</w:t>
      </w:r>
    </w:p>
    <w:p w14:paraId="29C722BD">
      <w:pPr>
        <w:ind w:firstLine="640" w:firstLineChars="200"/>
        <w:rPr>
          <w:rFonts w:hint="eastAsia" w:ascii="仿宋_GB2312" w:eastAsia="仿宋_GB2312"/>
          <w:sz w:val="32"/>
          <w:szCs w:val="32"/>
        </w:rPr>
      </w:pPr>
      <w:r>
        <w:rPr>
          <w:rFonts w:hint="eastAsia" w:ascii="仿宋_GB2312" w:eastAsia="仿宋_GB2312"/>
          <w:sz w:val="32"/>
          <w:szCs w:val="32"/>
        </w:rPr>
        <w:t>无</w:t>
      </w:r>
    </w:p>
    <w:p w14:paraId="6371E60B">
      <w:pPr>
        <w:ind w:firstLine="640" w:firstLineChars="200"/>
        <w:rPr>
          <w:rFonts w:hint="eastAsia" w:ascii="仿宋_GB2312" w:eastAsia="仿宋_GB2312"/>
          <w:sz w:val="32"/>
          <w:szCs w:val="32"/>
        </w:rPr>
      </w:pPr>
    </w:p>
    <w:p w14:paraId="2BC7D657">
      <w:pPr>
        <w:ind w:firstLine="640" w:firstLineChars="200"/>
        <w:rPr>
          <w:rFonts w:hint="eastAsia" w:ascii="仿宋_GB2312" w:eastAsia="仿宋_GB2312"/>
          <w:sz w:val="32"/>
          <w:szCs w:val="32"/>
        </w:rPr>
      </w:pPr>
    </w:p>
    <w:p w14:paraId="2612A828">
      <w:pPr>
        <w:ind w:firstLine="960" w:firstLineChars="300"/>
        <w:rPr>
          <w:rFonts w:hint="eastAsia" w:ascii="仿宋_GB2312" w:eastAsia="仿宋_GB2312"/>
          <w:sz w:val="32"/>
          <w:szCs w:val="32"/>
        </w:rPr>
      </w:pPr>
      <w:r>
        <w:rPr>
          <w:rFonts w:hint="eastAsia" w:ascii="仿宋_GB2312" w:eastAsia="仿宋_GB2312"/>
          <w:sz w:val="32"/>
          <w:szCs w:val="32"/>
        </w:rPr>
        <w:t>《高价值专利培育中心</w:t>
      </w:r>
      <w:r>
        <w:rPr>
          <w:rFonts w:hint="eastAsia" w:ascii="仿宋_GB2312" w:eastAsia="仿宋_GB2312"/>
          <w:sz w:val="32"/>
          <w:szCs w:val="32"/>
          <w:lang w:eastAsia="zh-CN"/>
        </w:rPr>
        <w:t>绩效</w:t>
      </w:r>
      <w:r>
        <w:rPr>
          <w:rFonts w:hint="eastAsia" w:ascii="仿宋_GB2312" w:eastAsia="仿宋_GB2312"/>
          <w:sz w:val="32"/>
          <w:szCs w:val="32"/>
        </w:rPr>
        <w:t>评价规范》标准起草组</w:t>
      </w:r>
    </w:p>
    <w:p w14:paraId="60C0A517">
      <w:pPr>
        <w:ind w:firstLine="4800" w:firstLineChars="1500"/>
        <w:rPr>
          <w:rFonts w:hint="eastAsia" w:ascii="仿宋_GB2312" w:eastAsia="仿宋_GB2312"/>
          <w:sz w:val="32"/>
          <w:szCs w:val="32"/>
        </w:rPr>
      </w:pPr>
      <w:r>
        <w:rPr>
          <w:rFonts w:hint="eastAsia" w:ascii="仿宋_GB2312" w:eastAsia="仿宋_GB2312"/>
          <w:sz w:val="32"/>
          <w:szCs w:val="32"/>
        </w:rPr>
        <w:t>2026年3月2</w:t>
      </w:r>
      <w:r>
        <w:rPr>
          <w:rFonts w:hint="eastAsia" w:ascii="仿宋_GB2312" w:eastAsia="仿宋_GB2312"/>
          <w:sz w:val="32"/>
          <w:szCs w:val="32"/>
          <w:lang w:val="en-US" w:eastAsia="zh-CN"/>
        </w:rPr>
        <w:t>7</w:t>
      </w:r>
      <w:bookmarkStart w:id="0" w:name="_GoBack"/>
      <w:bookmarkEnd w:id="0"/>
      <w:r>
        <w:rPr>
          <w:rFonts w:hint="eastAsia" w:ascii="仿宋_GB2312" w:eastAsia="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07F471-7E90-42E3-AD90-CCC1D8E7EFC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DF4E843-2CF0-4DC7-BB95-24F0096989D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7EEB6D6E-755E-4ED4-936B-A7E131B855CF}"/>
  </w:font>
  <w:font w:name="方正小标宋简体">
    <w:panose1 w:val="02000000000000000000"/>
    <w:charset w:val="86"/>
    <w:family w:val="script"/>
    <w:pitch w:val="default"/>
    <w:sig w:usb0="00000001" w:usb1="08000000" w:usb2="00000000" w:usb3="00000000" w:csb0="00040000" w:csb1="00000000"/>
    <w:embedRegular r:id="rId4" w:fontKey="{92A91431-5AA1-4B62-BBE9-96AA74212A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938"/>
    <w:rsid w:val="00137BD1"/>
    <w:rsid w:val="00140FED"/>
    <w:rsid w:val="00171B65"/>
    <w:rsid w:val="001B59D0"/>
    <w:rsid w:val="001F1F8D"/>
    <w:rsid w:val="001F53D0"/>
    <w:rsid w:val="002142B7"/>
    <w:rsid w:val="0026291F"/>
    <w:rsid w:val="00272A55"/>
    <w:rsid w:val="002C6A1A"/>
    <w:rsid w:val="00360AD4"/>
    <w:rsid w:val="004219EE"/>
    <w:rsid w:val="005E24AB"/>
    <w:rsid w:val="006275B9"/>
    <w:rsid w:val="006A4835"/>
    <w:rsid w:val="006B5291"/>
    <w:rsid w:val="00715293"/>
    <w:rsid w:val="00801F53"/>
    <w:rsid w:val="00814699"/>
    <w:rsid w:val="009313AD"/>
    <w:rsid w:val="00935E8B"/>
    <w:rsid w:val="009A3855"/>
    <w:rsid w:val="00A103D7"/>
    <w:rsid w:val="00A470B2"/>
    <w:rsid w:val="00B433BC"/>
    <w:rsid w:val="00B47A5F"/>
    <w:rsid w:val="00CC0938"/>
    <w:rsid w:val="00CC671A"/>
    <w:rsid w:val="00D60362"/>
    <w:rsid w:val="00DF38C2"/>
    <w:rsid w:val="00E07C98"/>
    <w:rsid w:val="00E3713D"/>
    <w:rsid w:val="00E74D9C"/>
    <w:rsid w:val="00FF093F"/>
    <w:rsid w:val="156E6948"/>
    <w:rsid w:val="208D4445"/>
    <w:rsid w:val="290276DC"/>
    <w:rsid w:val="299779A7"/>
    <w:rsid w:val="2B3E717F"/>
    <w:rsid w:val="2B766821"/>
    <w:rsid w:val="75283380"/>
    <w:rsid w:val="7DF36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2"/>
    <w:unhideWhenUsed/>
    <w:qFormat/>
    <w:uiPriority w:val="99"/>
    <w:pPr>
      <w:tabs>
        <w:tab w:val="center" w:pos="4153"/>
        <w:tab w:val="right" w:pos="8306"/>
      </w:tabs>
      <w:snapToGrid w:val="0"/>
      <w:jc w:val="left"/>
    </w:pPr>
    <w:rPr>
      <w:sz w:val="18"/>
      <w:szCs w:val="18"/>
    </w:rPr>
  </w:style>
  <w:style w:type="paragraph" w:styleId="12">
    <w:name w:val="header"/>
    <w:basedOn w:val="1"/>
    <w:link w:val="41"/>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paragraph" w:customStyle="1" w:styleId="35">
    <w:name w:val="样式1"/>
    <w:basedOn w:val="1"/>
    <w:link w:val="36"/>
    <w:qFormat/>
    <w:uiPriority w:val="0"/>
    <w:rPr>
      <w:rFonts w:ascii="黑体" w:hAnsi="黑体" w:eastAsia="黑体"/>
      <w:sz w:val="32"/>
      <w:szCs w:val="32"/>
    </w:rPr>
  </w:style>
  <w:style w:type="character" w:customStyle="1" w:styleId="36">
    <w:name w:val="样式1 字符"/>
    <w:basedOn w:val="16"/>
    <w:link w:val="35"/>
    <w:qFormat/>
    <w:uiPriority w:val="0"/>
    <w:rPr>
      <w:rFonts w:ascii="黑体" w:hAnsi="黑体" w:eastAsia="黑体"/>
      <w:sz w:val="32"/>
      <w:szCs w:val="32"/>
    </w:rPr>
  </w:style>
  <w:style w:type="paragraph" w:customStyle="1" w:styleId="37">
    <w:name w:val="样式2"/>
    <w:basedOn w:val="35"/>
    <w:link w:val="38"/>
    <w:qFormat/>
    <w:uiPriority w:val="0"/>
    <w:pPr>
      <w:ind w:firstLine="640" w:firstLineChars="200"/>
    </w:pPr>
  </w:style>
  <w:style w:type="character" w:customStyle="1" w:styleId="38">
    <w:name w:val="样式2 字符"/>
    <w:basedOn w:val="36"/>
    <w:link w:val="37"/>
    <w:qFormat/>
    <w:uiPriority w:val="0"/>
    <w:rPr>
      <w:rFonts w:ascii="黑体" w:hAnsi="黑体" w:eastAsia="黑体"/>
      <w:sz w:val="32"/>
      <w:szCs w:val="32"/>
    </w:rPr>
  </w:style>
  <w:style w:type="paragraph" w:customStyle="1" w:styleId="39">
    <w:name w:val="样式3"/>
    <w:basedOn w:val="1"/>
    <w:link w:val="40"/>
    <w:qFormat/>
    <w:uiPriority w:val="0"/>
    <w:pPr>
      <w:ind w:firstLine="640" w:firstLineChars="200"/>
    </w:pPr>
    <w:rPr>
      <w:rFonts w:ascii="楷体" w:hAnsi="楷体" w:eastAsia="楷体"/>
      <w:sz w:val="32"/>
      <w:szCs w:val="32"/>
    </w:rPr>
  </w:style>
  <w:style w:type="character" w:customStyle="1" w:styleId="40">
    <w:name w:val="样式3 字符"/>
    <w:basedOn w:val="16"/>
    <w:link w:val="39"/>
    <w:qFormat/>
    <w:uiPriority w:val="0"/>
    <w:rPr>
      <w:rFonts w:ascii="楷体" w:hAnsi="楷体" w:eastAsia="楷体"/>
      <w:sz w:val="32"/>
      <w:szCs w:val="32"/>
    </w:rPr>
  </w:style>
  <w:style w:type="character" w:customStyle="1" w:styleId="41">
    <w:name w:val="页眉 字符"/>
    <w:basedOn w:val="16"/>
    <w:link w:val="12"/>
    <w:qFormat/>
    <w:uiPriority w:val="99"/>
    <w:rPr>
      <w:sz w:val="18"/>
      <w:szCs w:val="18"/>
    </w:rPr>
  </w:style>
  <w:style w:type="character" w:customStyle="1" w:styleId="42">
    <w:name w:val="页脚 字符"/>
    <w:basedOn w:val="16"/>
    <w:link w:val="11"/>
    <w:qFormat/>
    <w:uiPriority w:val="99"/>
    <w:rPr>
      <w:sz w:val="18"/>
      <w:szCs w:val="18"/>
    </w:rPr>
  </w:style>
  <w:style w:type="paragraph" w:customStyle="1" w:styleId="43">
    <w:name w:val="样式4"/>
    <w:basedOn w:val="37"/>
    <w:link w:val="44"/>
    <w:qFormat/>
    <w:uiPriority w:val="0"/>
    <w:pPr>
      <w:ind w:firstLine="643"/>
    </w:pPr>
    <w:rPr>
      <w:rFonts w:ascii="仿宋_GB2312" w:eastAsia="仿宋_GB2312" w:hAnsiTheme="minorHAnsi"/>
      <w:b/>
      <w:bCs/>
    </w:rPr>
  </w:style>
  <w:style w:type="character" w:customStyle="1" w:styleId="44">
    <w:name w:val="样式4 字符"/>
    <w:basedOn w:val="38"/>
    <w:link w:val="43"/>
    <w:qFormat/>
    <w:uiPriority w:val="0"/>
    <w:rPr>
      <w:rFonts w:ascii="仿宋_GB2312" w:hAnsi="黑体" w:eastAsia="仿宋_GB2312"/>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3473</Words>
  <Characters>3644</Characters>
  <Lines>38</Lines>
  <Paragraphs>10</Paragraphs>
  <TotalTime>0</TotalTime>
  <ScaleCrop>false</ScaleCrop>
  <LinksUpToDate>false</LinksUpToDate>
  <CharactersWithSpaces>3688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2026-03-10T06:34:00Z</dcterms:created>
  <dc:creator>alex jin</dc:creator>
  <cp:lastModifiedBy>HAS-LI</cp:lastModifiedBy>
  <dcterms:modified xsi:type="dcterms:W3CDTF">2026-03-27T03:53:17Z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eyJoZGlkIjoiYmM3M2I2MzVlMWJhNzc4NTU3MmMwNDVkMzBkYWFlMWEiLCJ1c2VySWQiOiI0NDYyODg1MTcifQ==</vt:lpwstr>
  </property>
  <property fmtid="{D5CDD505-2E9C-101B-9397-08002B2CF9AE}" pid="3" name="KSOProductBuildVer">
    <vt:lpwstr>2052-12.1.0.24655</vt:lpwstr>
  </property>
  <property fmtid="{D5CDD505-2E9C-101B-9397-08002B2CF9AE}" pid="4" name="ICV">
    <vt:lpwstr>56BA5942C482417DA499008C114CDB66_13</vt:lpwstr>
  </property>
</Properties>
</file>