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531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AB04EB8">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CB9C90F">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03.140</w:t>
            </w:r>
            <w:r>
              <w:rPr>
                <w:rFonts w:ascii="黑体" w:hAnsi="黑体" w:eastAsia="黑体"/>
                <w:sz w:val="21"/>
                <w:szCs w:val="21"/>
              </w:rPr>
              <w:fldChar w:fldCharType="end"/>
            </w:r>
            <w:bookmarkEnd w:id="0"/>
          </w:p>
        </w:tc>
      </w:tr>
      <w:tr w14:paraId="665CA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7738E88">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3B151D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73A625D5">
                  <w:pPr>
                    <w:pStyle w:val="50"/>
                    <w:framePr w:wrap="notBeside" w:vAnchor="page" w:hAnchor="page" w:x="1372" w:y="568"/>
                    <w:ind w:left="420" w:right="624"/>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HAS</w:t>
                  </w:r>
                </w:p>
                <w:p w14:paraId="116F1636">
                  <w:pPr>
                    <w:pStyle w:val="50"/>
                    <w:framePr w:wrap="notBeside" w:vAnchor="page" w:hAnchor="page" w:x="1372" w:y="568"/>
                    <w:ind w:left="420" w:right="624"/>
                    <w:rPr>
                      <w:rFonts w:ascii="宋体" w:hAnsi="宋体"/>
                      <w:sz w:val="28"/>
                      <w:szCs w:val="28"/>
                    </w:rPr>
                  </w:pPr>
                  <w:r>
                    <w:fldChar w:fldCharType="end"/>
                  </w:r>
                  <w:bookmarkEnd w:id="1"/>
                </w:p>
              </w:tc>
            </w:tr>
          </w:tbl>
          <w:p w14:paraId="360F07EB">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 00</w:t>
            </w:r>
            <w:r>
              <w:rPr>
                <w:rFonts w:ascii="黑体" w:hAnsi="黑体" w:eastAsia="黑体"/>
                <w:sz w:val="21"/>
                <w:szCs w:val="21"/>
              </w:rPr>
              <w:fldChar w:fldCharType="end"/>
            </w:r>
            <w:bookmarkEnd w:id="2"/>
          </w:p>
        </w:tc>
      </w:tr>
    </w:tbl>
    <w:p w14:paraId="5C338AE1">
      <w:pPr>
        <w:pStyle w:val="51"/>
        <w:framePr w:w="9639" w:h="1078" w:hRule="exact" w:hSpace="181" w:vSpace="181" w:wrap="around" w:hAnchor="page" w:x="1305" w:y="2269"/>
        <w:spacing w:before="120" w:after="120"/>
        <w:jc w:val="center"/>
        <w:rPr>
          <w:rFonts w:ascii="黑体" w:hAnsi="黑体" w:eastAsia="黑体"/>
          <w:b w:val="0"/>
          <w:bCs w:val="0"/>
          <w:w w:val="150"/>
          <w:sz w:val="72"/>
          <w:szCs w:val="72"/>
        </w:rPr>
      </w:pPr>
      <w:bookmarkStart w:id="3" w:name="_Hlk26473981"/>
      <w:r>
        <w:rPr>
          <w:rFonts w:hint="eastAsia" w:ascii="黑体" w:eastAsia="黑体"/>
          <w:b w:val="0"/>
          <w:w w:val="150"/>
          <w:sz w:val="72"/>
          <w:szCs w:val="72"/>
        </w:rPr>
        <w:t xml:space="preserve">团  体  </w:t>
      </w:r>
      <w:r>
        <w:rPr>
          <w:rFonts w:hint="eastAsia" w:ascii="黑体" w:hAnsi="黑体" w:eastAsia="黑体"/>
          <w:b w:val="0"/>
          <w:bCs w:val="0"/>
          <w:w w:val="150"/>
          <w:sz w:val="72"/>
          <w:szCs w:val="72"/>
        </w:rPr>
        <w:t>标  准</w:t>
      </w:r>
    </w:p>
    <w:bookmarkEnd w:id="3"/>
    <w:p w14:paraId="7CD5E179">
      <w:pPr>
        <w:pStyle w:val="196"/>
        <w:framePr/>
      </w:pPr>
      <w:r>
        <w:t>T/</w:t>
      </w:r>
      <w:r>
        <w:rPr>
          <w:rFonts w:hint="eastAsia"/>
        </w:rPr>
        <w:t>HAS</w:t>
      </w:r>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     </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46E64E8B">
      <w:pPr>
        <w:pStyle w:val="197"/>
        <w:framePr/>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310554D6">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F46BB02">
      <w:pPr>
        <w:pStyle w:val="51"/>
        <w:framePr w:w="9639" w:h="6976" w:hRule="exact" w:hSpace="0" w:vSpace="0" w:wrap="around" w:hAnchor="page" w:y="6408"/>
        <w:jc w:val="center"/>
        <w:rPr>
          <w:rFonts w:ascii="黑体" w:hAnsi="黑体" w:eastAsia="黑体"/>
          <w:b w:val="0"/>
          <w:bCs w:val="0"/>
          <w:w w:val="100"/>
        </w:rPr>
      </w:pPr>
    </w:p>
    <w:p w14:paraId="6CF14A13">
      <w:pPr>
        <w:pStyle w:val="198"/>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高价值专利培育中心建设规范</w:t>
      </w:r>
      <w:r>
        <w:fldChar w:fldCharType="end"/>
      </w:r>
      <w:bookmarkEnd w:id="7"/>
    </w:p>
    <w:p w14:paraId="6628D3E2">
      <w:pPr>
        <w:framePr w:w="9639" w:h="6974" w:hRule="exact" w:wrap="around" w:vAnchor="page" w:hAnchor="page" w:x="1419" w:y="6408" w:anchorLock="1"/>
        <w:ind w:left="-1418"/>
      </w:pPr>
    </w:p>
    <w:p w14:paraId="61B27E1E">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8"/>
    </w:p>
    <w:p w14:paraId="4DF76894">
      <w:pPr>
        <w:framePr w:w="9639" w:h="6974" w:hRule="exact" w:wrap="around" w:vAnchor="page" w:hAnchor="page" w:x="1419" w:y="6408" w:anchorLock="1"/>
        <w:spacing w:line="760" w:lineRule="exact"/>
        <w:ind w:left="-1418"/>
      </w:pPr>
    </w:p>
    <w:p w14:paraId="3A155704">
      <w:pPr>
        <w:pStyle w:val="126"/>
        <w:framePr w:w="9639" w:h="6974" w:hRule="exact" w:wrap="around" w:vAnchor="page" w:hAnchor="page" w:x="1419" w:y="6408" w:anchorLock="1"/>
        <w:textAlignment w:val="bottom"/>
        <w:rPr>
          <w:rFonts w:eastAsia="黑体"/>
          <w:szCs w:val="28"/>
        </w:rPr>
      </w:pPr>
    </w:p>
    <w:p w14:paraId="4C4DF290">
      <w:pPr>
        <w:pStyle w:val="126"/>
        <w:framePr w:w="9639" w:h="6974" w:hRule="exact" w:wrap="around" w:vAnchor="page" w:hAnchor="page" w:x="1419" w:y="6408" w:anchorLock="1"/>
        <w:spacing w:before="440" w:after="160"/>
        <w:textAlignment w:val="bottom"/>
        <w:rPr>
          <w:sz w:val="24"/>
          <w:szCs w:val="28"/>
        </w:rPr>
      </w:pPr>
      <w:bookmarkStart w:id="9" w:name="下拉1"/>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r>
        <w:rPr>
          <w:sz w:val="24"/>
          <w:szCs w:val="28"/>
        </w:rPr>
        <w:instrText xml:space="preserve"> FORMDROPDOWN </w:instrText>
      </w:r>
      <w:r>
        <w:rPr>
          <w:sz w:val="24"/>
          <w:szCs w:val="28"/>
        </w:rPr>
        <w:fldChar w:fldCharType="separate"/>
      </w:r>
      <w:r>
        <w:rPr>
          <w:sz w:val="24"/>
          <w:szCs w:val="28"/>
        </w:rPr>
        <w:fldChar w:fldCharType="end"/>
      </w:r>
      <w:bookmarkEnd w:id="9"/>
    </w:p>
    <w:p w14:paraId="28C787AA">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0"/>
    </w:p>
    <w:p w14:paraId="77D28F58">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46A618DA">
      <w:pPr>
        <w:pStyle w:val="194"/>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42EA76B6">
      <w:pPr>
        <w:pStyle w:val="195"/>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075A9C8D">
      <w:pPr>
        <w:pStyle w:val="152"/>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int="eastAsia" w:hAnsi="黑体"/>
          <w:w w:val="100"/>
          <w:sz w:val="28"/>
        </w:rPr>
        <w:t>河南省标准化协会</w:t>
      </w:r>
      <w:r>
        <w:rPr>
          <w:rFonts w:hAnsi="黑体"/>
          <w:w w:val="100"/>
          <w:sz w:val="28"/>
        </w:rPr>
        <w:fldChar w:fldCharType="end"/>
      </w:r>
      <w:bookmarkEnd w:id="18"/>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2B152F41">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DD5628C">
      <w:pPr>
        <w:pStyle w:val="92"/>
        <w:spacing w:after="360"/>
      </w:pPr>
      <w:bookmarkStart w:id="19" w:name="BookMark1"/>
      <w:bookmarkStart w:id="20" w:name="_Toc225176380"/>
      <w:bookmarkStart w:id="21" w:name="_Toc223608825"/>
      <w:bookmarkStart w:id="22" w:name="_Toc224003942"/>
      <w:r>
        <w:rPr>
          <w:rFonts w:hint="eastAsia"/>
          <w:spacing w:val="320"/>
        </w:rPr>
        <w:t>目</w:t>
      </w:r>
      <w:r>
        <w:rPr>
          <w:rFonts w:hint="eastAsia"/>
        </w:rPr>
        <w:t>次</w:t>
      </w:r>
    </w:p>
    <w:p w14:paraId="146F8A84">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"_Toc225502877" </w:instrText>
      </w:r>
      <w:r>
        <w:fldChar w:fldCharType="separate"/>
      </w:r>
      <w:r>
        <w:rPr>
          <w:rStyle w:val="33"/>
          <w:rFonts w:hint="eastAsia"/>
        </w:rPr>
        <w:t>前言</w:t>
      </w:r>
      <w:r>
        <w:rPr>
          <w:rFonts w:hint="eastAsia"/>
        </w:rPr>
        <w:tab/>
      </w:r>
      <w:r>
        <w:rPr>
          <w:rFonts w:hint="eastAsia"/>
        </w:rPr>
        <w:fldChar w:fldCharType="begin"/>
      </w:r>
      <w:r>
        <w:rPr>
          <w:rFonts w:hint="eastAsia"/>
        </w:rPr>
        <w:instrText xml:space="preserve"> </w:instrText>
      </w:r>
      <w:r>
        <w:instrText xml:space="preserve">PAGEREF _Toc225502877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57F2103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"_Toc225502878" </w:instrText>
      </w:r>
      <w:r>
        <w:fldChar w:fldCharType="separate"/>
      </w:r>
      <w:r>
        <w:rPr>
          <w:rStyle w:val="33"/>
          <w:rFonts w:hint="eastAsia"/>
        </w:rPr>
        <w:t>1</w:t>
      </w:r>
      <w:r>
        <w:rPr>
          <w:rStyle w:val="33"/>
        </w:rPr>
        <w:t xml:space="preserve"> </w:t>
      </w:r>
      <w:r>
        <w:rPr>
          <w:rStyle w:val="33"/>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_Toc225502878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0AD003D">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"_Toc225502879" </w:instrText>
      </w:r>
      <w:r>
        <w:fldChar w:fldCharType="separate"/>
      </w:r>
      <w:r>
        <w:rPr>
          <w:rStyle w:val="33"/>
          <w:rFonts w:hint="eastAsia"/>
        </w:rPr>
        <w:t>2</w:t>
      </w:r>
      <w:r>
        <w:rPr>
          <w:rStyle w:val="33"/>
        </w:rPr>
        <w:t xml:space="preserve"> </w:t>
      </w:r>
      <w:r>
        <w:rPr>
          <w:rStyle w:val="33"/>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_Toc225502879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4644BC6">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"_Toc225502880" </w:instrText>
      </w:r>
      <w:r>
        <w:fldChar w:fldCharType="separate"/>
      </w:r>
      <w:r>
        <w:rPr>
          <w:rStyle w:val="33"/>
          <w:rFonts w:hint="eastAsia"/>
        </w:rPr>
        <w:t>3</w:t>
      </w:r>
      <w:r>
        <w:rPr>
          <w:rStyle w:val="33"/>
        </w:rPr>
        <w:t xml:space="preserve"> </w:t>
      </w:r>
      <w:r>
        <w:rPr>
          <w:rStyle w:val="33"/>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_Toc225502880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77CC38B">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"_Toc225502881" </w:instrText>
      </w:r>
      <w:r>
        <w:fldChar w:fldCharType="separate"/>
      </w:r>
      <w:r>
        <w:rPr>
          <w:rStyle w:val="33"/>
          <w:rFonts w:hint="eastAsia"/>
        </w:rPr>
        <w:t>4</w:t>
      </w:r>
      <w:r>
        <w:rPr>
          <w:rStyle w:val="33"/>
        </w:rPr>
        <w:t xml:space="preserve"> </w:t>
      </w:r>
      <w:r>
        <w:rPr>
          <w:rStyle w:val="33"/>
          <w:rFonts w:hint="eastAsia"/>
        </w:rPr>
        <w:t xml:space="preserve"> 建设模式</w:t>
      </w:r>
      <w:r>
        <w:rPr>
          <w:rFonts w:hint="eastAsia"/>
        </w:rPr>
        <w:tab/>
      </w:r>
      <w:r>
        <w:rPr>
          <w:rFonts w:hint="eastAsia"/>
        </w:rPr>
        <w:fldChar w:fldCharType="begin"/>
      </w:r>
      <w:r>
        <w:rPr>
          <w:rFonts w:hint="eastAsia"/>
        </w:rPr>
        <w:instrText xml:space="preserve"> </w:instrText>
      </w:r>
      <w:r>
        <w:instrText xml:space="preserve">PAGEREF _Toc225502881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D7C1650">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"_Toc225502882" </w:instrText>
      </w:r>
      <w:r>
        <w:fldChar w:fldCharType="separate"/>
      </w:r>
      <w:r>
        <w:rPr>
          <w:rStyle w:val="33"/>
          <w:rFonts w:hint="eastAsia"/>
        </w:rPr>
        <w:t>5</w:t>
      </w:r>
      <w:r>
        <w:rPr>
          <w:rStyle w:val="33"/>
        </w:rPr>
        <w:t xml:space="preserve"> </w:t>
      </w:r>
      <w:r>
        <w:rPr>
          <w:rStyle w:val="33"/>
          <w:rFonts w:hint="eastAsia"/>
        </w:rPr>
        <w:t xml:space="preserve"> 合作主体</w:t>
      </w:r>
      <w:r>
        <w:rPr>
          <w:rFonts w:hint="eastAsia"/>
        </w:rPr>
        <w:tab/>
      </w:r>
      <w:r>
        <w:rPr>
          <w:rFonts w:hint="eastAsia"/>
        </w:rPr>
        <w:fldChar w:fldCharType="begin"/>
      </w:r>
      <w:r>
        <w:rPr>
          <w:rFonts w:hint="eastAsia"/>
        </w:rPr>
        <w:instrText xml:space="preserve"> </w:instrText>
      </w:r>
      <w:r>
        <w:instrText xml:space="preserve">PAGEREF _Toc225502882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88AED1F">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"_Toc225502883" </w:instrText>
      </w:r>
      <w:r>
        <w:fldChar w:fldCharType="separate"/>
      </w:r>
      <w:r>
        <w:rPr>
          <w:rStyle w:val="33"/>
          <w:rFonts w:hint="eastAsia"/>
          <w14:scene3d w14:prst="orthographicFront">
            <w14:lightRig w14:rig="threePt" w14:dir="t">
              <w14:rot w14:lat="0" w14:lon="0" w14:rev="0"/>
            </w14:lightRig>
          </w14:scene3d>
        </w:rPr>
        <w:t>5.1</w:t>
      </w:r>
      <w:r>
        <w:rPr>
          <w:rStyle w:val="33"/>
          <w14:scene3d w14:prst="orthographicFront">
            <w14:lightRig w14:rig="threePt" w14:dir="t">
              <w14:rot w14:lat="0" w14:lon="0" w14:rev="0"/>
            </w14:lightRig>
          </w14:scene3d>
        </w:rPr>
        <w:t xml:space="preserve"> </w:t>
      </w:r>
      <w:r>
        <w:rPr>
          <w:rStyle w:val="33"/>
          <w:rFonts w:hint="eastAsia"/>
        </w:rPr>
        <w:t xml:space="preserve"> 企业</w:t>
      </w:r>
      <w:r>
        <w:rPr>
          <w:rFonts w:hint="eastAsia"/>
        </w:rPr>
        <w:tab/>
      </w:r>
      <w:r>
        <w:rPr>
          <w:rFonts w:hint="eastAsia"/>
        </w:rPr>
        <w:fldChar w:fldCharType="begin"/>
      </w:r>
      <w:r>
        <w:rPr>
          <w:rFonts w:hint="eastAsia"/>
        </w:rPr>
        <w:instrText xml:space="preserve"> </w:instrText>
      </w:r>
      <w:r>
        <w:instrText xml:space="preserve">PAGEREF _Toc225502883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489B7E5">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"_Toc225502884" </w:instrText>
      </w:r>
      <w:r>
        <w:fldChar w:fldCharType="separate"/>
      </w:r>
      <w:r>
        <w:rPr>
          <w:rStyle w:val="33"/>
          <w:rFonts w:hint="eastAsia"/>
          <w14:scene3d w14:prst="orthographicFront">
            <w14:lightRig w14:rig="threePt" w14:dir="t">
              <w14:rot w14:lat="0" w14:lon="0" w14:rev="0"/>
            </w14:lightRig>
          </w14:scene3d>
        </w:rPr>
        <w:t>5.2</w:t>
      </w:r>
      <w:r>
        <w:rPr>
          <w:rStyle w:val="33"/>
          <w14:scene3d w14:prst="orthographicFront">
            <w14:lightRig w14:rig="threePt" w14:dir="t">
              <w14:rot w14:lat="0" w14:lon="0" w14:rev="0"/>
            </w14:lightRig>
          </w14:scene3d>
        </w:rPr>
        <w:t xml:space="preserve"> </w:t>
      </w:r>
      <w:r>
        <w:rPr>
          <w:rStyle w:val="33"/>
          <w:rFonts w:hint="eastAsia"/>
        </w:rPr>
        <w:t xml:space="preserve"> 高校、科研院所</w:t>
      </w:r>
      <w:r>
        <w:rPr>
          <w:rFonts w:hint="eastAsia"/>
        </w:rPr>
        <w:tab/>
      </w:r>
      <w:r>
        <w:rPr>
          <w:rFonts w:hint="eastAsia"/>
        </w:rPr>
        <w:fldChar w:fldCharType="begin"/>
      </w:r>
      <w:r>
        <w:rPr>
          <w:rFonts w:hint="eastAsia"/>
        </w:rPr>
        <w:instrText xml:space="preserve"> </w:instrText>
      </w:r>
      <w:r>
        <w:instrText xml:space="preserve">PAGEREF _Toc225502884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335B63A">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"_Toc225502885" </w:instrText>
      </w:r>
      <w:r>
        <w:fldChar w:fldCharType="separate"/>
      </w:r>
      <w:r>
        <w:rPr>
          <w:rStyle w:val="33"/>
          <w:rFonts w:hint="eastAsia"/>
          <w14:scene3d w14:prst="orthographicFront">
            <w14:lightRig w14:rig="threePt" w14:dir="t">
              <w14:rot w14:lat="0" w14:lon="0" w14:rev="0"/>
            </w14:lightRig>
          </w14:scene3d>
        </w:rPr>
        <w:t>5.3</w:t>
      </w:r>
      <w:r>
        <w:rPr>
          <w:rStyle w:val="33"/>
          <w14:scene3d w14:prst="orthographicFront">
            <w14:lightRig w14:rig="threePt" w14:dir="t">
              <w14:rot w14:lat="0" w14:lon="0" w14:rev="0"/>
            </w14:lightRig>
          </w14:scene3d>
        </w:rPr>
        <w:t xml:space="preserve"> </w:t>
      </w:r>
      <w:r>
        <w:rPr>
          <w:rStyle w:val="33"/>
          <w:rFonts w:hint="eastAsia"/>
        </w:rPr>
        <w:t xml:space="preserve"> 医疗卫生机构</w:t>
      </w:r>
      <w:r>
        <w:rPr>
          <w:rFonts w:hint="eastAsia"/>
        </w:rPr>
        <w:tab/>
      </w:r>
      <w:r>
        <w:rPr>
          <w:rFonts w:hint="eastAsia"/>
        </w:rPr>
        <w:fldChar w:fldCharType="begin"/>
      </w:r>
      <w:r>
        <w:rPr>
          <w:rFonts w:hint="eastAsia"/>
        </w:rPr>
        <w:instrText xml:space="preserve"> </w:instrText>
      </w:r>
      <w:r>
        <w:instrText xml:space="preserve">PAGEREF _Toc225502885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BDEA898">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"_Toc225502886" </w:instrText>
      </w:r>
      <w:r>
        <w:fldChar w:fldCharType="separate"/>
      </w:r>
      <w:r>
        <w:rPr>
          <w:rStyle w:val="33"/>
          <w:rFonts w:hint="eastAsia"/>
          <w14:scene3d w14:prst="orthographicFront">
            <w14:lightRig w14:rig="threePt" w14:dir="t">
              <w14:rot w14:lat="0" w14:lon="0" w14:rev="0"/>
            </w14:lightRig>
          </w14:scene3d>
        </w:rPr>
        <w:t>5.4</w:t>
      </w:r>
      <w:r>
        <w:rPr>
          <w:rStyle w:val="33"/>
          <w14:scene3d w14:prst="orthographicFront">
            <w14:lightRig w14:rig="threePt" w14:dir="t">
              <w14:rot w14:lat="0" w14:lon="0" w14:rev="0"/>
            </w14:lightRig>
          </w14:scene3d>
        </w:rPr>
        <w:t xml:space="preserve"> </w:t>
      </w:r>
      <w:r>
        <w:rPr>
          <w:rStyle w:val="33"/>
          <w:rFonts w:hint="eastAsia"/>
        </w:rPr>
        <w:t xml:space="preserve"> 知识产权服务机构</w:t>
      </w:r>
      <w:r>
        <w:rPr>
          <w:rFonts w:hint="eastAsia"/>
        </w:rPr>
        <w:tab/>
      </w:r>
      <w:r>
        <w:rPr>
          <w:rFonts w:hint="eastAsia"/>
        </w:rPr>
        <w:fldChar w:fldCharType="begin"/>
      </w:r>
      <w:r>
        <w:rPr>
          <w:rFonts w:hint="eastAsia"/>
        </w:rPr>
        <w:instrText xml:space="preserve"> </w:instrText>
      </w:r>
      <w:r>
        <w:instrText xml:space="preserve">PAGEREF _Toc225502886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A0EF43D">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"_Toc225502887" </w:instrText>
      </w:r>
      <w:r>
        <w:fldChar w:fldCharType="separate"/>
      </w:r>
      <w:r>
        <w:rPr>
          <w:rStyle w:val="33"/>
          <w:rFonts w:hint="eastAsia"/>
        </w:rPr>
        <w:t>6</w:t>
      </w:r>
      <w:r>
        <w:rPr>
          <w:rStyle w:val="33"/>
        </w:rPr>
        <w:t xml:space="preserve"> </w:t>
      </w:r>
      <w:r>
        <w:rPr>
          <w:rStyle w:val="33"/>
          <w:rFonts w:hint="eastAsia"/>
        </w:rPr>
        <w:t xml:space="preserve"> 合作机制</w:t>
      </w:r>
      <w:r>
        <w:rPr>
          <w:rFonts w:hint="eastAsia"/>
        </w:rPr>
        <w:tab/>
      </w:r>
      <w:r>
        <w:rPr>
          <w:rFonts w:hint="eastAsia"/>
        </w:rPr>
        <w:fldChar w:fldCharType="begin"/>
      </w:r>
      <w:r>
        <w:rPr>
          <w:rFonts w:hint="eastAsia"/>
        </w:rPr>
        <w:instrText xml:space="preserve"> </w:instrText>
      </w:r>
      <w:r>
        <w:instrText xml:space="preserve">PAGEREF _Toc225502887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4724048">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"_Toc225502888" </w:instrText>
      </w:r>
      <w:r>
        <w:fldChar w:fldCharType="separate"/>
      </w:r>
      <w:r>
        <w:rPr>
          <w:rStyle w:val="33"/>
          <w:rFonts w:hint="eastAsia"/>
        </w:rPr>
        <w:t>7</w:t>
      </w:r>
      <w:r>
        <w:rPr>
          <w:rStyle w:val="33"/>
        </w:rPr>
        <w:t xml:space="preserve"> </w:t>
      </w:r>
      <w:r>
        <w:rPr>
          <w:rStyle w:val="33"/>
          <w:rFonts w:hint="eastAsia"/>
        </w:rPr>
        <w:t xml:space="preserve"> 认定</w:t>
      </w:r>
      <w:r>
        <w:rPr>
          <w:rFonts w:hint="eastAsia"/>
        </w:rPr>
        <w:tab/>
      </w:r>
      <w:r>
        <w:rPr>
          <w:rFonts w:hint="eastAsia"/>
        </w:rPr>
        <w:fldChar w:fldCharType="begin"/>
      </w:r>
      <w:r>
        <w:rPr>
          <w:rFonts w:hint="eastAsia"/>
        </w:rPr>
        <w:instrText xml:space="preserve"> </w:instrText>
      </w:r>
      <w:r>
        <w:instrText xml:space="preserve">PAGEREF _Toc225502888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0AF2B21">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"_Toc225502889" </w:instrText>
      </w:r>
      <w:r>
        <w:fldChar w:fldCharType="separate"/>
      </w:r>
      <w:r>
        <w:rPr>
          <w:rStyle w:val="33"/>
          <w:rFonts w:hint="eastAsia"/>
          <w14:scene3d w14:prst="orthographicFront">
            <w14:lightRig w14:rig="threePt" w14:dir="t">
              <w14:rot w14:lat="0" w14:lon="0" w14:rev="0"/>
            </w14:lightRig>
          </w14:scene3d>
        </w:rPr>
        <w:t>7.1</w:t>
      </w:r>
      <w:r>
        <w:rPr>
          <w:rStyle w:val="33"/>
          <w14:scene3d w14:prst="orthographicFront">
            <w14:lightRig w14:rig="threePt" w14:dir="t">
              <w14:rot w14:lat="0" w14:lon="0" w14:rev="0"/>
            </w14:lightRig>
          </w14:scene3d>
        </w:rPr>
        <w:t xml:space="preserve"> </w:t>
      </w:r>
      <w:r>
        <w:rPr>
          <w:rStyle w:val="33"/>
          <w:rFonts w:hint="eastAsia"/>
        </w:rPr>
        <w:t xml:space="preserve"> 认定组织</w:t>
      </w:r>
      <w:r>
        <w:rPr>
          <w:rFonts w:hint="eastAsia"/>
        </w:rPr>
        <w:tab/>
      </w:r>
      <w:r>
        <w:rPr>
          <w:rFonts w:hint="eastAsia"/>
        </w:rPr>
        <w:fldChar w:fldCharType="begin"/>
      </w:r>
      <w:r>
        <w:rPr>
          <w:rFonts w:hint="eastAsia"/>
        </w:rPr>
        <w:instrText xml:space="preserve"> </w:instrText>
      </w:r>
      <w:r>
        <w:instrText xml:space="preserve">PAGEREF _Toc225502889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9F1A585">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"_Toc225502890" </w:instrText>
      </w:r>
      <w:r>
        <w:fldChar w:fldCharType="separate"/>
      </w:r>
      <w:r>
        <w:rPr>
          <w:rStyle w:val="33"/>
          <w:rFonts w:hint="eastAsia"/>
          <w14:scene3d w14:prst="orthographicFront">
            <w14:lightRig w14:rig="threePt" w14:dir="t">
              <w14:rot w14:lat="0" w14:lon="0" w14:rev="0"/>
            </w14:lightRig>
          </w14:scene3d>
        </w:rPr>
        <w:t>7.2</w:t>
      </w:r>
      <w:r>
        <w:rPr>
          <w:rStyle w:val="33"/>
          <w14:scene3d w14:prst="orthographicFront">
            <w14:lightRig w14:rig="threePt" w14:dir="t">
              <w14:rot w14:lat="0" w14:lon="0" w14:rev="0"/>
            </w14:lightRig>
          </w14:scene3d>
        </w:rPr>
        <w:t xml:space="preserve"> </w:t>
      </w:r>
      <w:r>
        <w:rPr>
          <w:rStyle w:val="33"/>
          <w:rFonts w:hint="eastAsia"/>
        </w:rPr>
        <w:t xml:space="preserve"> 认定指标</w:t>
      </w:r>
      <w:r>
        <w:rPr>
          <w:rFonts w:hint="eastAsia"/>
        </w:rPr>
        <w:tab/>
      </w:r>
      <w:r>
        <w:rPr>
          <w:rFonts w:hint="eastAsia"/>
        </w:rPr>
        <w:fldChar w:fldCharType="begin"/>
      </w:r>
      <w:r>
        <w:rPr>
          <w:rFonts w:hint="eastAsia"/>
        </w:rPr>
        <w:instrText xml:space="preserve"> </w:instrText>
      </w:r>
      <w:r>
        <w:instrText xml:space="preserve">PAGEREF _Toc225502890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D25E748">
      <w:pPr>
        <w:pStyle w:val="24"/>
        <w:rPr>
          <w:rFonts w:asciiTheme="minorHAnsi" w:hAnsiTheme="minorHAnsi" w:eastAsiaTheme="minorEastAsia" w:cstheme="minorBidi"/>
          <w:sz w:val="22"/>
          <w:szCs w:val="24"/>
          <w14:ligatures w14:val="standardContextual"/>
        </w:rPr>
      </w:pPr>
      <w:r>
        <w:fldChar w:fldCharType="begin"/>
      </w:r>
      <w:r>
        <w:instrText xml:space="preserve"> HYPERLINK \l "_Toc225502891" </w:instrText>
      </w:r>
      <w:r>
        <w:fldChar w:fldCharType="separate"/>
      </w:r>
      <w:r>
        <w:rPr>
          <w:rStyle w:val="33"/>
          <w:rFonts w:hint="eastAsia"/>
          <w14:scene3d w14:prst="orthographicFront">
            <w14:lightRig w14:rig="threePt" w14:dir="t">
              <w14:rot w14:lat="0" w14:lon="0" w14:rev="0"/>
            </w14:lightRig>
          </w14:scene3d>
        </w:rPr>
        <w:t>7.3</w:t>
      </w:r>
      <w:r>
        <w:rPr>
          <w:rStyle w:val="33"/>
          <w14:scene3d w14:prst="orthographicFront">
            <w14:lightRig w14:rig="threePt" w14:dir="t">
              <w14:rot w14:lat="0" w14:lon="0" w14:rev="0"/>
            </w14:lightRig>
          </w14:scene3d>
        </w:rPr>
        <w:t xml:space="preserve"> </w:t>
      </w:r>
      <w:r>
        <w:rPr>
          <w:rStyle w:val="33"/>
          <w:rFonts w:hint="eastAsia"/>
        </w:rPr>
        <w:t xml:space="preserve"> 认定结果</w:t>
      </w:r>
      <w:r>
        <w:rPr>
          <w:rFonts w:hint="eastAsia"/>
        </w:rPr>
        <w:tab/>
      </w:r>
      <w:r>
        <w:rPr>
          <w:rFonts w:hint="eastAsia"/>
        </w:rPr>
        <w:fldChar w:fldCharType="begin"/>
      </w:r>
      <w:r>
        <w:rPr>
          <w:rFonts w:hint="eastAsia"/>
        </w:rPr>
        <w:instrText xml:space="preserve"> </w:instrText>
      </w:r>
      <w:r>
        <w:instrText xml:space="preserve">PAGEREF _Toc225502891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8D08CDF">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"_Toc225502892" </w:instrText>
      </w:r>
      <w:r>
        <w:fldChar w:fldCharType="separate"/>
      </w:r>
      <w:r>
        <w:rPr>
          <w:rStyle w:val="33"/>
          <w:rFonts w:hint="eastAsia"/>
        </w:rPr>
        <w:t>附录A（规范性）</w:t>
      </w:r>
      <w:r>
        <w:rPr>
          <w:rStyle w:val="33"/>
        </w:rPr>
        <w:t xml:space="preserve"> </w:t>
      </w:r>
      <w:r>
        <w:rPr>
          <w:rStyle w:val="33"/>
          <w:rFonts w:hint="eastAsia"/>
        </w:rPr>
        <w:t xml:space="preserve"> 河南省高价值专利培育中心认定指标</w:t>
      </w:r>
      <w:r>
        <w:rPr>
          <w:rFonts w:hint="eastAsia"/>
        </w:rPr>
        <w:tab/>
      </w:r>
      <w:r>
        <w:rPr>
          <w:rFonts w:hint="eastAsia"/>
        </w:rPr>
        <w:fldChar w:fldCharType="begin"/>
      </w:r>
      <w:r>
        <w:rPr>
          <w:rFonts w:hint="eastAsia"/>
        </w:rPr>
        <w:instrText xml:space="preserve"> </w:instrText>
      </w:r>
      <w:r>
        <w:instrText xml:space="preserve">PAGEREF _Toc225502892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6119CD9">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"_Toc225502893" </w:instrText>
      </w:r>
      <w:r>
        <w:fldChar w:fldCharType="separate"/>
      </w:r>
      <w:r>
        <w:rPr>
          <w:rStyle w:val="33"/>
          <w:rFonts w:hint="eastAsia"/>
        </w:rPr>
        <w:t>参考文献</w:t>
      </w:r>
      <w:r>
        <w:rPr>
          <w:rFonts w:hint="eastAsia"/>
        </w:rPr>
        <w:tab/>
      </w:r>
      <w:r>
        <w:rPr>
          <w:rFonts w:hint="eastAsia"/>
        </w:rPr>
        <w:fldChar w:fldCharType="begin"/>
      </w:r>
      <w:r>
        <w:rPr>
          <w:rFonts w:hint="eastAsia"/>
        </w:rPr>
        <w:instrText xml:space="preserve"> </w:instrText>
      </w:r>
      <w:r>
        <w:instrText xml:space="preserve">PAGEREF _Toc225502893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18E65004">
      <w:pPr>
        <w:pStyle w:val="92"/>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475D57BC">
      <w:pPr>
        <w:pStyle w:val="90"/>
        <w:spacing w:before="560" w:after="360"/>
      </w:pPr>
      <w:bookmarkStart w:id="23" w:name="_Toc225502877"/>
      <w:bookmarkStart w:id="24" w:name="BookMark2"/>
      <w:r>
        <w:rPr>
          <w:rFonts w:hint="eastAsia"/>
          <w:spacing w:val="320"/>
        </w:rPr>
        <w:t>前</w:t>
      </w:r>
      <w:r>
        <w:rPr>
          <w:rFonts w:hint="eastAsia"/>
        </w:rPr>
        <w:t>言</w:t>
      </w:r>
      <w:bookmarkEnd w:id="20"/>
      <w:bookmarkEnd w:id="21"/>
      <w:bookmarkEnd w:id="22"/>
      <w:bookmarkEnd w:id="23"/>
    </w:p>
    <w:p w14:paraId="57EA4267">
      <w:pPr>
        <w:pStyle w:val="57"/>
        <w:ind w:firstLine="420"/>
      </w:pPr>
      <w:r>
        <w:rPr>
          <w:rFonts w:hint="eastAsia"/>
        </w:rPr>
        <w:t>本文件按照GB/T 1.1—2020《标准化工作导则  第1部分：标准化文件的结构和起草规则》的规定起草。</w:t>
      </w:r>
    </w:p>
    <w:p w14:paraId="3B60EAB3">
      <w:pPr>
        <w:pStyle w:val="25"/>
        <w:widowControl/>
        <w:autoSpaceDE w:val="0"/>
        <w:autoSpaceDN w:val="0"/>
        <w:adjustRightInd/>
        <w:spacing w:line="240" w:lineRule="auto"/>
        <w:ind w:firstLine="420" w:firstLineChars="200"/>
      </w:pPr>
      <w:r>
        <w:rPr>
          <w:rFonts w:hint="eastAsia" w:ascii="Times New Roman" w:hAnsi="Times New Roman" w:cs="宋体"/>
          <w:kern w:val="0"/>
          <w:sz w:val="21"/>
          <w:szCs w:val="20"/>
          <w:lang w:bidi="ar"/>
        </w:rPr>
        <w:t>请注意本文件的某些内容可能涉及专利。本文件的发布机构不承担识别专利的责任。</w:t>
      </w:r>
    </w:p>
    <w:p w14:paraId="00DE7FE2">
      <w:pPr>
        <w:pStyle w:val="57"/>
        <w:ind w:firstLine="420"/>
      </w:pPr>
      <w:r>
        <w:rPr>
          <w:rFonts w:hint="eastAsia"/>
        </w:rPr>
        <w:t>本文件由河南省市场监督管理局（知识产权局）提出、归口并组织实施。</w:t>
      </w:r>
    </w:p>
    <w:p w14:paraId="36573F79">
      <w:pPr>
        <w:pStyle w:val="57"/>
        <w:ind w:firstLine="420"/>
      </w:pPr>
      <w:r>
        <w:rPr>
          <w:rFonts w:hint="eastAsia"/>
        </w:rPr>
        <w:t>本文件起草单位：</w:t>
      </w:r>
    </w:p>
    <w:p w14:paraId="641372BD">
      <w:pPr>
        <w:pStyle w:val="57"/>
        <w:ind w:firstLine="420"/>
      </w:pPr>
      <w:r>
        <w:rPr>
          <w:rFonts w:hint="eastAsia"/>
        </w:rPr>
        <w:t>本文件主要起草人：</w:t>
      </w:r>
    </w:p>
    <w:p w14:paraId="79EFEDD1">
      <w:pPr>
        <w:pStyle w:val="57"/>
        <w:ind w:firstLine="420"/>
      </w:pPr>
    </w:p>
    <w:p w14:paraId="25620D43">
      <w:pPr>
        <w:pStyle w:val="57"/>
        <w:ind w:firstLine="420"/>
        <w:sectPr>
          <w:pgSz w:w="11906" w:h="16838"/>
          <w:pgMar w:top="1928" w:right="1134" w:bottom="1134" w:left="1134" w:header="1418" w:footer="1134" w:gutter="284"/>
          <w:pgNumType w:fmt="upperRoman"/>
          <w:cols w:space="425" w:num="1"/>
          <w:formProt w:val="0"/>
          <w:docGrid w:linePitch="312" w:charSpace="0"/>
        </w:sectPr>
      </w:pPr>
    </w:p>
    <w:bookmarkEnd w:id="24"/>
    <w:p w14:paraId="5BFAD899">
      <w:pPr>
        <w:spacing w:line="20" w:lineRule="exact"/>
        <w:jc w:val="center"/>
        <w:rPr>
          <w:rFonts w:ascii="黑体" w:hAnsi="黑体" w:eastAsia="黑体"/>
          <w:sz w:val="32"/>
          <w:szCs w:val="32"/>
        </w:rPr>
      </w:pPr>
      <w:bookmarkStart w:id="25" w:name="BookMark4"/>
    </w:p>
    <w:p w14:paraId="077EAC4A">
      <w:pPr>
        <w:spacing w:line="20" w:lineRule="exact"/>
        <w:jc w:val="center"/>
        <w:rPr>
          <w:rFonts w:ascii="黑体" w:hAnsi="黑体" w:eastAsia="黑体"/>
          <w:sz w:val="32"/>
          <w:szCs w:val="32"/>
        </w:rPr>
      </w:pPr>
    </w:p>
    <w:sdt>
      <w:sdtPr>
        <w:tag w:val="NEW_STAND_NAME"/>
        <w:id w:val="595910757"/>
        <w:lock w:val="sdtLocked"/>
        <w:placeholder>
          <w:docPart w:val="D4E952C58AD5450194303B1E8D70A7CA"/>
        </w:placeholder>
      </w:sdtPr>
      <w:sdtContent>
        <w:p w14:paraId="27DF8ADB">
          <w:pPr>
            <w:pStyle w:val="178"/>
            <w:spacing w:before="2" w:beforeLines="1" w:after="528" w:afterLines="220"/>
          </w:pPr>
          <w:bookmarkStart w:id="26" w:name="OLE_LINK2"/>
          <w:bookmarkEnd w:id="26"/>
          <w:bookmarkStart w:id="27" w:name="NEW_STAND_NAME"/>
          <w:r>
            <w:rPr>
              <w:rFonts w:hint="eastAsia"/>
            </w:rPr>
            <w:t>高价值专利培育中心建设规范</w:t>
          </w:r>
        </w:p>
      </w:sdtContent>
    </w:sdt>
    <w:bookmarkEnd w:id="27"/>
    <w:p w14:paraId="4D8C5B24">
      <w:pPr>
        <w:pStyle w:val="105"/>
        <w:spacing w:before="240" w:after="240"/>
      </w:pPr>
      <w:bookmarkStart w:id="28" w:name="_Toc224003943"/>
      <w:bookmarkStart w:id="29" w:name="_Toc26648465"/>
      <w:bookmarkStart w:id="30" w:name="_Toc225176381"/>
      <w:bookmarkStart w:id="31" w:name="_Toc26986771"/>
      <w:bookmarkStart w:id="32" w:name="_Toc17233325"/>
      <w:bookmarkStart w:id="33" w:name="_Toc24884211"/>
      <w:bookmarkStart w:id="34" w:name="_Toc17233333"/>
      <w:bookmarkStart w:id="35" w:name="_Toc26986530"/>
      <w:bookmarkStart w:id="36" w:name="_Toc223608826"/>
      <w:bookmarkStart w:id="37" w:name="_Toc24884218"/>
      <w:bookmarkStart w:id="38" w:name="_Toc26718930"/>
      <w:bookmarkStart w:id="39" w:name="_Toc97192964"/>
      <w:bookmarkStart w:id="40" w:name="_Toc225502878"/>
      <w:r>
        <w:rPr>
          <w:rFonts w:hint="eastAsia"/>
        </w:rPr>
        <w:t>范围</w:t>
      </w:r>
      <w:bookmarkEnd w:id="28"/>
      <w:bookmarkEnd w:id="29"/>
      <w:bookmarkEnd w:id="30"/>
      <w:bookmarkEnd w:id="31"/>
      <w:bookmarkEnd w:id="32"/>
      <w:bookmarkEnd w:id="33"/>
      <w:bookmarkEnd w:id="34"/>
      <w:bookmarkEnd w:id="35"/>
      <w:bookmarkEnd w:id="36"/>
      <w:bookmarkEnd w:id="37"/>
      <w:bookmarkEnd w:id="38"/>
      <w:bookmarkEnd w:id="39"/>
      <w:bookmarkEnd w:id="40"/>
    </w:p>
    <w:p w14:paraId="3C2CC22C">
      <w:pPr>
        <w:pStyle w:val="57"/>
        <w:ind w:firstLine="420"/>
      </w:pPr>
      <w:bookmarkStart w:id="41" w:name="_Hlk224718115"/>
      <w:bookmarkStart w:id="42" w:name="_Toc17233326"/>
      <w:bookmarkStart w:id="43" w:name="_Toc24884219"/>
      <w:bookmarkStart w:id="44" w:name="_Toc24884212"/>
      <w:bookmarkStart w:id="45" w:name="_Toc17233334"/>
      <w:bookmarkStart w:id="46" w:name="_Toc26648466"/>
      <w:r>
        <w:rPr>
          <w:rFonts w:hint="eastAsia"/>
        </w:rPr>
        <w:t>本文件规定了</w:t>
      </w:r>
      <w:bookmarkStart w:id="47" w:name="OLE_LINK1"/>
      <w:r>
        <w:rPr>
          <w:rFonts w:hint="eastAsia"/>
        </w:rPr>
        <w:t>河南省高价值专利培育中心的建设</w:t>
      </w:r>
      <w:bookmarkEnd w:id="41"/>
      <w:bookmarkEnd w:id="47"/>
      <w:r>
        <w:rPr>
          <w:rFonts w:hint="eastAsia"/>
        </w:rPr>
        <w:t>模式、合作主体、合作机制、认定等内容。</w:t>
      </w:r>
    </w:p>
    <w:p w14:paraId="5487C1A0">
      <w:pPr>
        <w:pStyle w:val="57"/>
        <w:ind w:firstLine="420"/>
      </w:pPr>
      <w:r>
        <w:rPr>
          <w:rFonts w:hint="eastAsia"/>
        </w:rPr>
        <w:t>本文件适用于河南省高价值专利培育中心的建设和认定。</w:t>
      </w:r>
    </w:p>
    <w:p w14:paraId="0379A58D">
      <w:pPr>
        <w:pStyle w:val="105"/>
        <w:spacing w:before="240" w:after="240"/>
      </w:pPr>
      <w:bookmarkStart w:id="48" w:name="_Toc225502879"/>
      <w:bookmarkStart w:id="49" w:name="_Toc223608827"/>
      <w:bookmarkStart w:id="50" w:name="_Toc97192965"/>
      <w:bookmarkStart w:id="51" w:name="_Toc224003944"/>
      <w:bookmarkStart w:id="52" w:name="_Toc225176382"/>
      <w:bookmarkStart w:id="53" w:name="_Toc26986772"/>
      <w:bookmarkStart w:id="54" w:name="_Toc26718931"/>
      <w:bookmarkStart w:id="55" w:name="_Toc26986531"/>
      <w:r>
        <w:rPr>
          <w:rFonts w:hint="eastAsia"/>
        </w:rPr>
        <w:t>规范性引用文件</w:t>
      </w:r>
      <w:bookmarkEnd w:id="42"/>
      <w:bookmarkEnd w:id="43"/>
      <w:bookmarkEnd w:id="44"/>
      <w:bookmarkEnd w:id="45"/>
      <w:bookmarkEnd w:id="46"/>
      <w:bookmarkEnd w:id="48"/>
      <w:bookmarkEnd w:id="49"/>
      <w:bookmarkEnd w:id="50"/>
      <w:bookmarkEnd w:id="51"/>
      <w:bookmarkEnd w:id="52"/>
      <w:bookmarkEnd w:id="53"/>
      <w:bookmarkEnd w:id="54"/>
      <w:bookmarkEnd w:id="55"/>
    </w:p>
    <w:sdt>
      <w:sdtPr>
        <w:rPr>
          <w:rFonts w:hint="eastAsia"/>
        </w:rPr>
        <w:id w:val="715848253"/>
        <w:placeholder>
          <w:docPart w:val="3122EC57D8BA42D6AEBA010A2729AC9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0081841">
          <w:pPr>
            <w:pStyle w:val="57"/>
            <w:ind w:firstLine="420"/>
          </w:pPr>
          <w:r>
            <w:rPr>
              <w:rFonts w:hint="eastAsia"/>
            </w:rPr>
            <w:t>本文件没有规范性引用文件。</w:t>
          </w:r>
        </w:p>
      </w:sdtContent>
    </w:sdt>
    <w:p w14:paraId="2AC0E065">
      <w:pPr>
        <w:pStyle w:val="105"/>
        <w:spacing w:before="240" w:after="240"/>
      </w:pPr>
      <w:bookmarkStart w:id="56" w:name="_Toc223608828"/>
      <w:bookmarkStart w:id="57" w:name="_Toc225176383"/>
      <w:bookmarkStart w:id="58" w:name="_Toc97192966"/>
      <w:bookmarkStart w:id="59" w:name="_Toc224003945"/>
      <w:bookmarkStart w:id="60" w:name="_Toc225502880"/>
      <w:r>
        <w:rPr>
          <w:rFonts w:hint="eastAsia"/>
          <w:szCs w:val="21"/>
        </w:rPr>
        <w:t>术语和定义</w:t>
      </w:r>
      <w:bookmarkEnd w:id="56"/>
      <w:bookmarkEnd w:id="57"/>
      <w:bookmarkEnd w:id="58"/>
      <w:bookmarkEnd w:id="59"/>
      <w:bookmarkEnd w:id="60"/>
    </w:p>
    <w:sdt>
      <w:sdtPr>
        <w:id w:val="-1909835108"/>
        <w:placeholder>
          <w:docPart w:val="7203C6227A344127AD7E3BFB000F6F0C"/>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166BABE">
          <w:pPr>
            <w:pStyle w:val="57"/>
            <w:ind w:firstLine="420"/>
          </w:pPr>
          <w:bookmarkStart w:id="61" w:name="_Toc26986532"/>
          <w:bookmarkEnd w:id="61"/>
          <w:r>
            <w:t>下列术语和定义适用于本文件。</w:t>
          </w:r>
        </w:p>
      </w:sdtContent>
    </w:sdt>
    <w:p w14:paraId="7ECAD217">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高价值专利</w:t>
      </w:r>
    </w:p>
    <w:p w14:paraId="652B937F">
      <w:pPr>
        <w:pStyle w:val="57"/>
        <w:ind w:firstLine="420"/>
      </w:pPr>
      <w:r>
        <w:rPr>
          <w:rFonts w:hint="eastAsia"/>
        </w:rPr>
        <w:t>可产生较高商业价值和社会价值的专利或专利组合。</w:t>
      </w:r>
    </w:p>
    <w:p w14:paraId="1F7D4A8B">
      <w:pPr>
        <w:pStyle w:val="180"/>
      </w:pPr>
      <w:r>
        <w:rPr>
          <w:rFonts w:hint="eastAsia"/>
        </w:rPr>
        <w:t>通常具备较强的技术创新性、技术不可替代性，专利文本质量较高。</w:t>
      </w:r>
    </w:p>
    <w:p w14:paraId="7B283867">
      <w:pPr>
        <w:pStyle w:val="224"/>
        <w:autoSpaceDE w:val="0"/>
        <w:autoSpaceDN w:val="0"/>
        <w:ind w:left="420" w:hanging="420" w:hangingChars="200"/>
        <w:jc w:val="left"/>
      </w:pPr>
      <w:r>
        <w:rPr>
          <w:rFonts w:ascii="黑体" w:hAnsi="黑体" w:eastAsia="黑体"/>
        </w:rPr>
        <w:br w:type="textWrapping"/>
      </w:r>
      <w:r>
        <w:rPr>
          <w:rFonts w:hint="eastAsia" w:ascii="黑体" w:hAnsi="黑体" w:eastAsia="黑体"/>
        </w:rPr>
        <w:t>高价值专利培育中心</w:t>
      </w:r>
    </w:p>
    <w:p w14:paraId="0266DC8E">
      <w:pPr>
        <w:pStyle w:val="57"/>
        <w:ind w:firstLine="420"/>
      </w:pPr>
      <w:r>
        <w:rPr>
          <w:rFonts w:hint="eastAsia"/>
        </w:rPr>
        <w:t>由企业、高校或科研院所、医疗卫生机构、知识产权服务机构联合组建，以重点发展战略性新兴产业、优势主导产业高价值专利为主要目标的，具有独立法人资格的创新主体。</w:t>
      </w:r>
    </w:p>
    <w:p w14:paraId="3E2FCFC9">
      <w:pPr>
        <w:pStyle w:val="105"/>
        <w:spacing w:before="240" w:after="240"/>
      </w:pPr>
      <w:bookmarkStart w:id="62" w:name="_Toc225502881"/>
      <w:bookmarkStart w:id="63" w:name="_Toc225176384"/>
      <w:r>
        <w:rPr>
          <w:rFonts w:hint="eastAsia"/>
        </w:rPr>
        <w:t>建设模式</w:t>
      </w:r>
      <w:bookmarkEnd w:id="62"/>
      <w:bookmarkEnd w:id="63"/>
    </w:p>
    <w:p w14:paraId="50BAC4CC">
      <w:pPr>
        <w:pStyle w:val="57"/>
        <w:ind w:firstLine="420"/>
      </w:pPr>
      <w:r>
        <w:rPr>
          <w:rFonts w:hint="eastAsia"/>
        </w:rPr>
        <w:t>企业、高校或科研院所、医疗卫生机构，与知识产权服务机构开展三方联合组建。</w:t>
      </w:r>
    </w:p>
    <w:p w14:paraId="23C3CBDD">
      <w:pPr>
        <w:pStyle w:val="105"/>
        <w:spacing w:before="240" w:after="240"/>
      </w:pPr>
      <w:bookmarkStart w:id="64" w:name="_Toc225176385"/>
      <w:bookmarkStart w:id="65" w:name="_Toc225502882"/>
      <w:r>
        <w:rPr>
          <w:rFonts w:hint="eastAsia"/>
        </w:rPr>
        <w:t>合作主体</w:t>
      </w:r>
      <w:bookmarkEnd w:id="64"/>
      <w:bookmarkEnd w:id="65"/>
    </w:p>
    <w:p w14:paraId="217A2546">
      <w:pPr>
        <w:pStyle w:val="106"/>
        <w:spacing w:before="120" w:after="120"/>
      </w:pPr>
      <w:bookmarkStart w:id="66" w:name="_Toc225502883"/>
      <w:r>
        <w:rPr>
          <w:rFonts w:hint="eastAsia"/>
        </w:rPr>
        <w:t>企业</w:t>
      </w:r>
      <w:bookmarkEnd w:id="66"/>
    </w:p>
    <w:p w14:paraId="24277275">
      <w:pPr>
        <w:pStyle w:val="166"/>
      </w:pPr>
      <w:r>
        <w:rPr>
          <w:rFonts w:hint="eastAsia"/>
        </w:rPr>
        <w:t>应在河南省内注册具有独立法人资格，且经营满3年。</w:t>
      </w:r>
    </w:p>
    <w:p w14:paraId="40C5FC14">
      <w:pPr>
        <w:pStyle w:val="166"/>
      </w:pPr>
      <w:r>
        <w:rPr>
          <w:rFonts w:hint="eastAsia"/>
        </w:rPr>
        <w:t>技术领域应属于省级重要规划确定的战略性新兴产业、优势主导产业。</w:t>
      </w:r>
    </w:p>
    <w:p w14:paraId="0F8657DA">
      <w:pPr>
        <w:pStyle w:val="166"/>
      </w:pPr>
      <w:r>
        <w:rPr>
          <w:rFonts w:hint="eastAsia"/>
        </w:rPr>
        <w:t>年利润应不少于1000万元。</w:t>
      </w:r>
    </w:p>
    <w:p w14:paraId="680367E6">
      <w:pPr>
        <w:pStyle w:val="166"/>
      </w:pPr>
      <w:r>
        <w:rPr>
          <w:rFonts w:hint="eastAsia"/>
        </w:rPr>
        <w:t>应有知识产权专项经费，知识产权管理体系完备。</w:t>
      </w:r>
    </w:p>
    <w:p w14:paraId="15681702">
      <w:pPr>
        <w:pStyle w:val="166"/>
      </w:pPr>
      <w:r>
        <w:rPr>
          <w:rFonts w:hint="eastAsia"/>
        </w:rPr>
        <w:t>有效发明专利应不少于</w:t>
      </w:r>
      <w:r>
        <w:t>3</w:t>
      </w:r>
      <w:r>
        <w:rPr>
          <w:rFonts w:hint="eastAsia"/>
        </w:rPr>
        <w:t xml:space="preserve">0件。  </w:t>
      </w:r>
    </w:p>
    <w:p w14:paraId="39961E73">
      <w:pPr>
        <w:pStyle w:val="166"/>
      </w:pPr>
      <w:r>
        <w:rPr>
          <w:rFonts w:hint="eastAsia"/>
        </w:rPr>
        <w:t>应有省级以上产业技术研究院、重点实验室、工程实验室、工程技术研究中心、工程中心或企业技术中心等高水平研发中心。</w:t>
      </w:r>
    </w:p>
    <w:p w14:paraId="6E7A4BCB">
      <w:pPr>
        <w:pStyle w:val="166"/>
      </w:pPr>
      <w:r>
        <w:rPr>
          <w:rFonts w:hint="eastAsia"/>
        </w:rPr>
        <w:t>应与高校、科研院所建立知识产权合作关系。</w:t>
      </w:r>
    </w:p>
    <w:p w14:paraId="0589C537">
      <w:pPr>
        <w:pStyle w:val="106"/>
        <w:spacing w:before="120" w:after="120"/>
      </w:pPr>
      <w:bookmarkStart w:id="67" w:name="_Toc225502884"/>
      <w:bookmarkStart w:id="68" w:name="OLE_LINK4"/>
      <w:r>
        <w:rPr>
          <w:rFonts w:hint="eastAsia"/>
        </w:rPr>
        <w:t>高校、科研院所</w:t>
      </w:r>
      <w:bookmarkEnd w:id="67"/>
    </w:p>
    <w:bookmarkEnd w:id="68"/>
    <w:p w14:paraId="39A5B38D">
      <w:pPr>
        <w:pStyle w:val="166"/>
      </w:pPr>
      <w:r>
        <w:rPr>
          <w:rFonts w:hint="eastAsia"/>
        </w:rPr>
        <w:t>具有良好的知识产权工作基础。</w:t>
      </w:r>
    </w:p>
    <w:p w14:paraId="1BDE87A7">
      <w:pPr>
        <w:pStyle w:val="166"/>
      </w:pPr>
      <w:r>
        <w:rPr>
          <w:rFonts w:hint="eastAsia"/>
        </w:rPr>
        <w:t xml:space="preserve">应有省级以上重点实验室、工程实验室、工程技术研究中心等高水平研发中心或研发机构。  </w:t>
      </w:r>
    </w:p>
    <w:p w14:paraId="6CD8535D">
      <w:pPr>
        <w:pStyle w:val="166"/>
      </w:pPr>
      <w:r>
        <w:rPr>
          <w:rFonts w:hint="eastAsia"/>
        </w:rPr>
        <w:t>高校有效发明专利应不少于200件，科研院所有效发明专利应不少于100件。</w:t>
      </w:r>
    </w:p>
    <w:p w14:paraId="57A1367E">
      <w:pPr>
        <w:pStyle w:val="166"/>
      </w:pPr>
      <w:r>
        <w:rPr>
          <w:rFonts w:hint="eastAsia"/>
        </w:rPr>
        <w:t>未来产业、战略性新兴产业所涉技术领域产出的有效发明专利应不少于10 件。</w:t>
      </w:r>
    </w:p>
    <w:p w14:paraId="368CEA86">
      <w:pPr>
        <w:pStyle w:val="106"/>
        <w:spacing w:before="120" w:after="120"/>
      </w:pPr>
      <w:bookmarkStart w:id="69" w:name="_Toc225502885"/>
      <w:r>
        <w:rPr>
          <w:rFonts w:hint="eastAsia"/>
        </w:rPr>
        <w:t>医疗卫生机构</w:t>
      </w:r>
      <w:bookmarkEnd w:id="69"/>
    </w:p>
    <w:p w14:paraId="6CFE981F">
      <w:pPr>
        <w:pStyle w:val="166"/>
      </w:pPr>
      <w:r>
        <w:rPr>
          <w:rFonts w:hint="eastAsia"/>
        </w:rPr>
        <w:t>应为三级甲等医院。</w:t>
      </w:r>
    </w:p>
    <w:p w14:paraId="4E4FE06D">
      <w:pPr>
        <w:pStyle w:val="166"/>
      </w:pPr>
      <w:r>
        <w:rPr>
          <w:rFonts w:hint="eastAsia"/>
        </w:rPr>
        <w:t>应有省级以上重点实验室、工程实验室、工程技术研究中心等高水平研发中心或研发机构。</w:t>
      </w:r>
    </w:p>
    <w:p w14:paraId="0DC81ABF">
      <w:pPr>
        <w:pStyle w:val="166"/>
      </w:pPr>
      <w:bookmarkStart w:id="70" w:name="_Hlk223992571"/>
      <w:r>
        <w:rPr>
          <w:rFonts w:hint="eastAsia"/>
        </w:rPr>
        <w:t>有效发明专利应不少于1</w:t>
      </w:r>
      <w:r>
        <w:t>0</w:t>
      </w:r>
      <w:r>
        <w:rPr>
          <w:rFonts w:hint="eastAsia"/>
        </w:rPr>
        <w:t>0件</w:t>
      </w:r>
      <w:bookmarkEnd w:id="70"/>
      <w:r>
        <w:rPr>
          <w:rFonts w:hint="eastAsia"/>
        </w:rPr>
        <w:t>。</w:t>
      </w:r>
    </w:p>
    <w:p w14:paraId="541BE5EC">
      <w:pPr>
        <w:pStyle w:val="166"/>
      </w:pPr>
      <w:r>
        <w:rPr>
          <w:rFonts w:hint="eastAsia"/>
        </w:rPr>
        <w:t>上年度发明专利授权数量应不少于30 件。</w:t>
      </w:r>
    </w:p>
    <w:p w14:paraId="58241B0F">
      <w:pPr>
        <w:pStyle w:val="106"/>
        <w:spacing w:before="120" w:after="120"/>
      </w:pPr>
      <w:bookmarkStart w:id="71" w:name="_Toc225502886"/>
      <w:r>
        <w:rPr>
          <w:rFonts w:hint="eastAsia"/>
        </w:rPr>
        <w:t>知识产权服务机构</w:t>
      </w:r>
      <w:bookmarkEnd w:id="71"/>
    </w:p>
    <w:p w14:paraId="391719BA">
      <w:pPr>
        <w:pStyle w:val="166"/>
      </w:pPr>
      <w:r>
        <w:rPr>
          <w:rFonts w:hint="eastAsia"/>
        </w:rPr>
        <w:t xml:space="preserve">应取得《专利代理机构注册证》，且经营满3年。  </w:t>
      </w:r>
    </w:p>
    <w:p w14:paraId="41E0A653">
      <w:pPr>
        <w:pStyle w:val="166"/>
      </w:pPr>
      <w:r>
        <w:rPr>
          <w:rFonts w:hint="eastAsia"/>
        </w:rPr>
        <w:t>应进入国家知识产权局“精准服务保障名单”。</w:t>
      </w:r>
    </w:p>
    <w:p w14:paraId="50AD3B88">
      <w:pPr>
        <w:pStyle w:val="166"/>
      </w:pPr>
      <w:r>
        <w:rPr>
          <w:rFonts w:hint="eastAsia"/>
        </w:rPr>
        <w:t>从业人员数量应不少于40人，执业专利代理师应不少于5 人。</w:t>
      </w:r>
    </w:p>
    <w:p w14:paraId="71A73FA7">
      <w:pPr>
        <w:pStyle w:val="166"/>
      </w:pPr>
      <w:r>
        <w:rPr>
          <w:rFonts w:hint="eastAsia"/>
        </w:rPr>
        <w:t xml:space="preserve">应具有良好的经营状况及较好的信誉度。  </w:t>
      </w:r>
    </w:p>
    <w:p w14:paraId="65A9A839">
      <w:pPr>
        <w:pStyle w:val="105"/>
        <w:spacing w:before="240" w:after="240"/>
      </w:pPr>
      <w:bookmarkStart w:id="72" w:name="_Toc225176386"/>
      <w:bookmarkStart w:id="73" w:name="_Toc225502887"/>
      <w:r>
        <w:rPr>
          <w:rFonts w:hint="eastAsia"/>
        </w:rPr>
        <w:t>合作机制</w:t>
      </w:r>
      <w:bookmarkEnd w:id="72"/>
      <w:bookmarkEnd w:id="73"/>
    </w:p>
    <w:p w14:paraId="54F8E546">
      <w:pPr>
        <w:pStyle w:val="163"/>
      </w:pPr>
      <w:r>
        <w:rPr>
          <w:rFonts w:hint="eastAsia"/>
        </w:rPr>
        <w:t>建立多方参与的知识产权议事机制，负责以下事项：</w:t>
      </w:r>
    </w:p>
    <w:p w14:paraId="5A3386CD">
      <w:pPr>
        <w:pStyle w:val="133"/>
      </w:pPr>
      <w:r>
        <w:rPr>
          <w:rFonts w:hint="eastAsia"/>
        </w:rPr>
        <w:t>信息平台建设；</w:t>
      </w:r>
    </w:p>
    <w:p w14:paraId="438ECB04">
      <w:pPr>
        <w:pStyle w:val="133"/>
      </w:pPr>
      <w:r>
        <w:rPr>
          <w:rFonts w:hint="eastAsia"/>
        </w:rPr>
        <w:t>专利导航；</w:t>
      </w:r>
    </w:p>
    <w:p w14:paraId="4326D53B">
      <w:pPr>
        <w:pStyle w:val="133"/>
      </w:pPr>
      <w:r>
        <w:rPr>
          <w:rFonts w:hint="eastAsia"/>
        </w:rPr>
        <w:t>专利布局；</w:t>
      </w:r>
    </w:p>
    <w:p w14:paraId="1A273641">
      <w:pPr>
        <w:pStyle w:val="133"/>
      </w:pPr>
      <w:r>
        <w:rPr>
          <w:rFonts w:hint="eastAsia"/>
        </w:rPr>
        <w:t>发明披露审查等重大事务的决策等。</w:t>
      </w:r>
    </w:p>
    <w:p w14:paraId="0547CD72">
      <w:pPr>
        <w:pStyle w:val="163"/>
      </w:pPr>
      <w:r>
        <w:rPr>
          <w:rFonts w:hint="eastAsia"/>
        </w:rPr>
        <w:t>建立完善的组织管理机制，包括：</w:t>
      </w:r>
    </w:p>
    <w:p w14:paraId="15E8FA5A">
      <w:pPr>
        <w:pStyle w:val="133"/>
      </w:pPr>
      <w:r>
        <w:rPr>
          <w:rFonts w:hint="eastAsia"/>
        </w:rPr>
        <w:t>成立管理高层例会制度；</w:t>
      </w:r>
    </w:p>
    <w:p w14:paraId="2E3E5D19">
      <w:pPr>
        <w:pStyle w:val="133"/>
      </w:pPr>
      <w:r>
        <w:rPr>
          <w:rFonts w:hint="eastAsia"/>
        </w:rPr>
        <w:t>定期听取高价值专利培育工作报告；</w:t>
      </w:r>
    </w:p>
    <w:p w14:paraId="7F970A41">
      <w:pPr>
        <w:pStyle w:val="133"/>
      </w:pPr>
      <w:r>
        <w:rPr>
          <w:rFonts w:hint="eastAsia"/>
        </w:rPr>
        <w:t>研究审议重大事项等。</w:t>
      </w:r>
    </w:p>
    <w:p w14:paraId="1EED6731">
      <w:pPr>
        <w:pStyle w:val="163"/>
      </w:pPr>
      <w:r>
        <w:rPr>
          <w:rFonts w:hint="eastAsia"/>
        </w:rPr>
        <w:t>建立明晰的利益分配模式，包括：</w:t>
      </w:r>
    </w:p>
    <w:p w14:paraId="4B4522E0">
      <w:pPr>
        <w:pStyle w:val="133"/>
      </w:pPr>
      <w:r>
        <w:rPr>
          <w:rFonts w:hint="eastAsia"/>
        </w:rPr>
        <w:t>签订协同创新协议，明确专利权归属；</w:t>
      </w:r>
    </w:p>
    <w:p w14:paraId="3FBA2B62">
      <w:pPr>
        <w:pStyle w:val="133"/>
      </w:pPr>
      <w:r>
        <w:rPr>
          <w:rFonts w:hint="eastAsia"/>
        </w:rPr>
        <w:t>议定专利转化后的收益分配比例；</w:t>
      </w:r>
    </w:p>
    <w:p w14:paraId="121231DA">
      <w:pPr>
        <w:pStyle w:val="133"/>
      </w:pPr>
      <w:r>
        <w:rPr>
          <w:rFonts w:hint="eastAsia"/>
        </w:rPr>
        <w:t>设置明确的退出和追责条款。</w:t>
      </w:r>
    </w:p>
    <w:p w14:paraId="1F0D9498">
      <w:pPr>
        <w:pStyle w:val="105"/>
        <w:spacing w:before="240" w:after="240"/>
      </w:pPr>
      <w:bookmarkStart w:id="74" w:name="_Toc225176387"/>
      <w:bookmarkStart w:id="75" w:name="_Toc225502888"/>
      <w:r>
        <w:rPr>
          <w:rFonts w:hint="eastAsia"/>
        </w:rPr>
        <w:t>认定</w:t>
      </w:r>
      <w:bookmarkEnd w:id="74"/>
      <w:bookmarkEnd w:id="75"/>
    </w:p>
    <w:p w14:paraId="4EDDC436">
      <w:pPr>
        <w:pStyle w:val="106"/>
        <w:spacing w:before="120" w:after="120"/>
      </w:pPr>
      <w:bookmarkStart w:id="76" w:name="_Toc225502889"/>
      <w:r>
        <w:rPr>
          <w:rFonts w:hint="eastAsia"/>
        </w:rPr>
        <w:t>认定组织</w:t>
      </w:r>
      <w:bookmarkEnd w:id="76"/>
    </w:p>
    <w:p w14:paraId="5EC2B27B">
      <w:pPr>
        <w:pStyle w:val="57"/>
        <w:ind w:firstLine="420"/>
      </w:pPr>
      <w:r>
        <w:rPr>
          <w:rFonts w:hint="eastAsia"/>
        </w:rPr>
        <w:t>河南省市场监督管理局（知识产权局）或委托具备相应资质的第三方专业机构。</w:t>
      </w:r>
    </w:p>
    <w:p w14:paraId="77D9FDFD">
      <w:pPr>
        <w:pStyle w:val="106"/>
        <w:spacing w:before="120" w:after="120"/>
      </w:pPr>
      <w:bookmarkStart w:id="77" w:name="_Toc225502890"/>
      <w:r>
        <w:rPr>
          <w:rFonts w:hint="eastAsia"/>
        </w:rPr>
        <w:t>认定指标</w:t>
      </w:r>
      <w:bookmarkEnd w:id="77"/>
    </w:p>
    <w:p w14:paraId="715C4523">
      <w:pPr>
        <w:pStyle w:val="57"/>
        <w:ind w:firstLine="420"/>
      </w:pPr>
      <w:r>
        <w:rPr>
          <w:rFonts w:hint="eastAsia"/>
        </w:rPr>
        <w:t>河南省高价值专利培育中心认定指标见附录A。</w:t>
      </w:r>
    </w:p>
    <w:p w14:paraId="14EBF365">
      <w:pPr>
        <w:pStyle w:val="106"/>
        <w:spacing w:before="120" w:after="120"/>
      </w:pPr>
      <w:bookmarkStart w:id="78" w:name="_Toc225502891"/>
      <w:r>
        <w:rPr>
          <w:rFonts w:hint="eastAsia"/>
        </w:rPr>
        <w:t>认定结果</w:t>
      </w:r>
      <w:bookmarkEnd w:id="78"/>
    </w:p>
    <w:p w14:paraId="7797945C">
      <w:pPr>
        <w:pStyle w:val="57"/>
        <w:ind w:firstLine="420"/>
      </w:pPr>
      <w:r>
        <w:rPr>
          <w:rFonts w:hint="eastAsia"/>
        </w:rPr>
        <w:t>认定等级与得分范围的对应关系见表1。</w:t>
      </w:r>
    </w:p>
    <w:p w14:paraId="4B8EFA29">
      <w:pPr>
        <w:pStyle w:val="113"/>
        <w:spacing w:before="120" w:after="120"/>
      </w:pPr>
      <w:r>
        <w:rPr>
          <w:rFonts w:hint="eastAsia"/>
        </w:rPr>
        <w:t>等级与得分范围的对应关系表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67"/>
        <w:gridCol w:w="4667"/>
      </w:tblGrid>
      <w:tr w14:paraId="1BC08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4667" w:type="dxa"/>
            <w:tcBorders>
              <w:top w:val="single" w:color="auto" w:sz="8" w:space="0"/>
              <w:bottom w:val="single" w:color="auto" w:sz="8" w:space="0"/>
            </w:tcBorders>
          </w:tcPr>
          <w:p w14:paraId="426DA51F">
            <w:pPr>
              <w:jc w:val="center"/>
            </w:pPr>
            <w:r>
              <w:rPr>
                <w:rFonts w:hint="eastAsia"/>
              </w:rPr>
              <w:t>得分范围</w:t>
            </w:r>
          </w:p>
        </w:tc>
        <w:tc>
          <w:tcPr>
            <w:tcW w:w="4667" w:type="dxa"/>
            <w:tcBorders>
              <w:top w:val="single" w:color="auto" w:sz="8" w:space="0"/>
              <w:bottom w:val="single" w:color="auto" w:sz="8" w:space="0"/>
            </w:tcBorders>
          </w:tcPr>
          <w:p w14:paraId="2411E348">
            <w:pPr>
              <w:jc w:val="center"/>
            </w:pPr>
            <w:r>
              <w:rPr>
                <w:rFonts w:hint="eastAsia"/>
              </w:rPr>
              <w:t>认定等级</w:t>
            </w:r>
          </w:p>
        </w:tc>
      </w:tr>
      <w:tr w14:paraId="530A4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Borders>
              <w:top w:val="single" w:color="auto" w:sz="8" w:space="0"/>
            </w:tcBorders>
          </w:tcPr>
          <w:p w14:paraId="5445881E">
            <w:pPr>
              <w:jc w:val="center"/>
              <w:rPr>
                <w:color w:val="FF0000"/>
              </w:rPr>
            </w:pPr>
            <w:r>
              <w:rPr>
                <w:rFonts w:hint="eastAsia"/>
                <w:color w:val="FF0000"/>
              </w:rPr>
              <w:t>80～</w:t>
            </w:r>
            <w:r>
              <w:rPr>
                <w:color w:val="FF0000"/>
              </w:rPr>
              <w:t>100</w:t>
            </w:r>
          </w:p>
        </w:tc>
        <w:tc>
          <w:tcPr>
            <w:tcW w:w="4667" w:type="dxa"/>
            <w:tcBorders>
              <w:top w:val="single" w:color="auto" w:sz="8" w:space="0"/>
            </w:tcBorders>
          </w:tcPr>
          <w:p w14:paraId="5125FC3C">
            <w:pPr>
              <w:jc w:val="center"/>
              <w:rPr>
                <w:color w:val="FF0000"/>
              </w:rPr>
            </w:pPr>
            <w:r>
              <w:rPr>
                <w:rFonts w:hint="eastAsia"/>
                <w:color w:val="FF0000"/>
              </w:rPr>
              <w:t>A</w:t>
            </w:r>
          </w:p>
        </w:tc>
      </w:tr>
      <w:tr w14:paraId="5F760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Pr>
          <w:p w14:paraId="57B8F117">
            <w:pPr>
              <w:jc w:val="center"/>
              <w:rPr>
                <w:color w:val="FF0000"/>
              </w:rPr>
            </w:pPr>
            <w:r>
              <w:rPr>
                <w:rFonts w:hint="eastAsia"/>
                <w:color w:val="FF0000"/>
              </w:rPr>
              <w:t>60～79</w:t>
            </w:r>
          </w:p>
        </w:tc>
        <w:tc>
          <w:tcPr>
            <w:tcW w:w="4667" w:type="dxa"/>
          </w:tcPr>
          <w:p w14:paraId="12E804B7">
            <w:pPr>
              <w:jc w:val="center"/>
              <w:rPr>
                <w:color w:val="FF0000"/>
              </w:rPr>
            </w:pPr>
            <w:r>
              <w:rPr>
                <w:rFonts w:hint="eastAsia"/>
                <w:color w:val="FF0000"/>
              </w:rPr>
              <w:t>B</w:t>
            </w:r>
          </w:p>
        </w:tc>
      </w:tr>
      <w:tr w14:paraId="43ED4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Pr>
          <w:p w14:paraId="62934EFD">
            <w:pPr>
              <w:jc w:val="center"/>
              <w:rPr>
                <w:color w:val="FF0000"/>
              </w:rPr>
            </w:pPr>
            <w:r>
              <w:rPr>
                <w:rFonts w:hint="eastAsia"/>
                <w:color w:val="FF0000"/>
              </w:rPr>
              <w:t>60分以下</w:t>
            </w:r>
          </w:p>
        </w:tc>
        <w:tc>
          <w:tcPr>
            <w:tcW w:w="4667" w:type="dxa"/>
          </w:tcPr>
          <w:p w14:paraId="1E1527ED">
            <w:pPr>
              <w:jc w:val="center"/>
              <w:rPr>
                <w:color w:val="FF0000"/>
              </w:rPr>
            </w:pPr>
            <w:r>
              <w:rPr>
                <w:rFonts w:hint="eastAsia"/>
                <w:color w:val="FF0000"/>
              </w:rPr>
              <w:t>C</w:t>
            </w:r>
          </w:p>
        </w:tc>
      </w:tr>
    </w:tbl>
    <w:p w14:paraId="1960F230">
      <w:pPr>
        <w:pStyle w:val="166"/>
        <w:numPr>
          <w:ilvl w:val="0"/>
          <w:numId w:val="0"/>
        </w:numPr>
      </w:pPr>
    </w:p>
    <w:p w14:paraId="3EF7B40B">
      <w:pPr>
        <w:pStyle w:val="105"/>
        <w:numPr>
          <w:ilvl w:val="0"/>
          <w:numId w:val="0"/>
        </w:numPr>
        <w:spacing w:before="240" w:after="240"/>
        <w:sectPr>
          <w:pgSz w:w="11906" w:h="16838"/>
          <w:pgMar w:top="1928" w:right="1134" w:bottom="1134" w:left="1134" w:header="1418" w:footer="1134" w:gutter="284"/>
          <w:pgNumType w:start="1"/>
          <w:cols w:space="425" w:num="1"/>
          <w:formProt w:val="0"/>
          <w:docGrid w:linePitch="312" w:charSpace="0"/>
        </w:sectPr>
      </w:pPr>
    </w:p>
    <w:bookmarkEnd w:id="25"/>
    <w:p w14:paraId="6760BE6C">
      <w:pPr>
        <w:pStyle w:val="199"/>
        <w:rPr>
          <w:vanish w:val="0"/>
        </w:rPr>
      </w:pPr>
      <w:bookmarkStart w:id="79" w:name="BookMark5"/>
    </w:p>
    <w:p w14:paraId="70EDEA6A">
      <w:pPr>
        <w:pStyle w:val="200"/>
        <w:rPr>
          <w:vanish w:val="0"/>
        </w:rPr>
      </w:pPr>
    </w:p>
    <w:p w14:paraId="3918C941">
      <w:pPr>
        <w:pStyle w:val="77"/>
        <w:spacing w:after="120"/>
      </w:pPr>
      <w:bookmarkStart w:id="80" w:name="_Hlk224005144"/>
      <w:r>
        <w:br w:type="textWrapping"/>
      </w:r>
      <w:bookmarkStart w:id="81" w:name="_Toc224003950"/>
      <w:bookmarkStart w:id="82" w:name="_Toc225176388"/>
      <w:bookmarkStart w:id="83" w:name="_Toc225502892"/>
      <w:r>
        <w:rPr>
          <w:rFonts w:hint="eastAsia"/>
        </w:rPr>
        <w:t>（规范性）</w:t>
      </w:r>
      <w:r>
        <w:br w:type="textWrapping"/>
      </w:r>
      <w:bookmarkStart w:id="84" w:name="_Hlk224004701"/>
      <w:bookmarkStart w:id="85" w:name="_Hlk223998236"/>
      <w:r>
        <w:rPr>
          <w:rFonts w:hint="eastAsia"/>
        </w:rPr>
        <w:t>河南省高价值专利培育中心认定指标</w:t>
      </w:r>
      <w:bookmarkEnd w:id="81"/>
      <w:bookmarkEnd w:id="82"/>
      <w:bookmarkEnd w:id="83"/>
      <w:bookmarkEnd w:id="84"/>
    </w:p>
    <w:bookmarkEnd w:id="85"/>
    <w:p w14:paraId="224391BE">
      <w:pPr>
        <w:pStyle w:val="212"/>
      </w:pPr>
      <w:bookmarkStart w:id="86" w:name="OLE_LINK3"/>
      <w:r>
        <w:rPr>
          <w:rFonts w:hint="eastAsia"/>
        </w:rPr>
        <w:t>河南省高价值专利培育中心认定指标</w:t>
      </w:r>
      <w:bookmarkEnd w:id="86"/>
      <w:r>
        <w:rPr>
          <w:rFonts w:hint="eastAsia"/>
        </w:rPr>
        <w:t>见表A</w:t>
      </w:r>
      <w:r>
        <w:t>.1</w:t>
      </w:r>
      <w:r>
        <w:rPr>
          <w:rFonts w:hint="eastAsia"/>
        </w:rPr>
        <w:t>。</w:t>
      </w:r>
    </w:p>
    <w:p w14:paraId="1041BEA3">
      <w:pPr>
        <w:pStyle w:val="78"/>
        <w:spacing w:before="120" w:after="120"/>
      </w:pPr>
      <w:r>
        <w:rPr>
          <w:rFonts w:hint="eastAsia"/>
        </w:rPr>
        <w:t>河南省高价值专利培育中心认定指标体系</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34"/>
        <w:gridCol w:w="1134"/>
        <w:gridCol w:w="6812"/>
      </w:tblGrid>
      <w:tr w14:paraId="2CCB69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134" w:type="dxa"/>
            <w:tcBorders>
              <w:top w:val="single" w:color="auto" w:sz="8" w:space="0"/>
              <w:bottom w:val="single" w:color="auto" w:sz="8" w:space="0"/>
            </w:tcBorders>
            <w:vAlign w:val="center"/>
          </w:tcPr>
          <w:p w14:paraId="67F0A526">
            <w:pPr>
              <w:pStyle w:val="179"/>
            </w:pPr>
            <w:r>
              <w:rPr>
                <w:rFonts w:hint="eastAsia"/>
              </w:rPr>
              <w:t>一级指标</w:t>
            </w:r>
          </w:p>
        </w:tc>
        <w:tc>
          <w:tcPr>
            <w:tcW w:w="1134" w:type="dxa"/>
            <w:tcBorders>
              <w:top w:val="single" w:color="auto" w:sz="8" w:space="0"/>
              <w:bottom w:val="single" w:color="auto" w:sz="8" w:space="0"/>
            </w:tcBorders>
            <w:vAlign w:val="center"/>
          </w:tcPr>
          <w:p w14:paraId="491C5B3E">
            <w:pPr>
              <w:pStyle w:val="179"/>
            </w:pPr>
            <w:r>
              <w:rPr>
                <w:rFonts w:hint="eastAsia"/>
              </w:rPr>
              <w:t>二级指标</w:t>
            </w:r>
          </w:p>
        </w:tc>
        <w:tc>
          <w:tcPr>
            <w:tcW w:w="6812" w:type="dxa"/>
            <w:tcBorders>
              <w:top w:val="single" w:color="auto" w:sz="8" w:space="0"/>
              <w:bottom w:val="single" w:color="auto" w:sz="8" w:space="0"/>
            </w:tcBorders>
            <w:vAlign w:val="center"/>
          </w:tcPr>
          <w:p w14:paraId="274EE2EC">
            <w:pPr>
              <w:pStyle w:val="179"/>
            </w:pPr>
            <w:r>
              <w:rPr>
                <w:rFonts w:hint="eastAsia"/>
              </w:rPr>
              <w:t>评分内容（分）</w:t>
            </w:r>
          </w:p>
        </w:tc>
      </w:tr>
      <w:tr w14:paraId="26B29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34" w:type="dxa"/>
            <w:vMerge w:val="restart"/>
            <w:tcBorders>
              <w:top w:val="single" w:color="auto" w:sz="8" w:space="0"/>
            </w:tcBorders>
            <w:vAlign w:val="center"/>
          </w:tcPr>
          <w:p w14:paraId="52252653">
            <w:pPr>
              <w:pStyle w:val="179"/>
            </w:pPr>
            <w:r>
              <w:rPr>
                <w:rFonts w:hint="eastAsia"/>
              </w:rPr>
              <w:t>建设模式</w:t>
            </w:r>
          </w:p>
        </w:tc>
        <w:tc>
          <w:tcPr>
            <w:tcW w:w="1134" w:type="dxa"/>
            <w:vMerge w:val="restart"/>
            <w:tcBorders>
              <w:top w:val="single" w:color="auto" w:sz="8" w:space="0"/>
            </w:tcBorders>
            <w:vAlign w:val="center"/>
          </w:tcPr>
          <w:p w14:paraId="4D5DB756">
            <w:pPr>
              <w:pStyle w:val="179"/>
            </w:pPr>
            <w:r>
              <w:rPr>
                <w:rFonts w:hint="eastAsia"/>
              </w:rPr>
              <w:t>三方联合组建</w:t>
            </w:r>
          </w:p>
        </w:tc>
        <w:tc>
          <w:tcPr>
            <w:tcW w:w="6812" w:type="dxa"/>
            <w:tcBorders>
              <w:top w:val="single" w:color="auto" w:sz="8" w:space="0"/>
            </w:tcBorders>
            <w:vAlign w:val="center"/>
          </w:tcPr>
          <w:p w14:paraId="78CB56F6">
            <w:pPr>
              <w:pStyle w:val="179"/>
              <w:adjustRightInd w:val="0"/>
              <w:snapToGrid w:val="0"/>
              <w:ind w:left="63" w:leftChars="30" w:right="63" w:rightChars="30"/>
              <w:jc w:val="both"/>
            </w:pPr>
            <w:r>
              <w:rPr>
                <w:rFonts w:hint="eastAsia"/>
              </w:rPr>
              <w:t>企业、高校或科研院所、医疗卫生机构，与知识产权服务机构开展三方联合组建（15）</w:t>
            </w:r>
          </w:p>
        </w:tc>
      </w:tr>
      <w:tr w14:paraId="70895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34" w:type="dxa"/>
            <w:vMerge w:val="continue"/>
            <w:vAlign w:val="center"/>
          </w:tcPr>
          <w:p w14:paraId="6F84981F">
            <w:pPr>
              <w:pStyle w:val="179"/>
            </w:pPr>
          </w:p>
        </w:tc>
        <w:tc>
          <w:tcPr>
            <w:tcW w:w="1134" w:type="dxa"/>
            <w:vMerge w:val="continue"/>
            <w:vAlign w:val="center"/>
          </w:tcPr>
          <w:p w14:paraId="69CE8F13">
            <w:pPr>
              <w:pStyle w:val="179"/>
            </w:pPr>
          </w:p>
        </w:tc>
        <w:tc>
          <w:tcPr>
            <w:tcW w:w="6812" w:type="dxa"/>
            <w:vAlign w:val="center"/>
          </w:tcPr>
          <w:p w14:paraId="667842E8">
            <w:pPr>
              <w:pStyle w:val="179"/>
              <w:adjustRightInd w:val="0"/>
              <w:snapToGrid w:val="0"/>
              <w:ind w:left="63" w:leftChars="30" w:right="63" w:rightChars="30"/>
              <w:jc w:val="both"/>
            </w:pPr>
            <w:r>
              <w:rPr>
                <w:rFonts w:hint="eastAsia"/>
              </w:rPr>
              <w:t>两方联合；（0）</w:t>
            </w:r>
          </w:p>
        </w:tc>
      </w:tr>
      <w:tr w14:paraId="1EEB8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34" w:type="dxa"/>
            <w:vMerge w:val="continue"/>
            <w:vAlign w:val="center"/>
          </w:tcPr>
          <w:p w14:paraId="21289B9B">
            <w:pPr>
              <w:pStyle w:val="179"/>
            </w:pPr>
          </w:p>
        </w:tc>
        <w:tc>
          <w:tcPr>
            <w:tcW w:w="1134" w:type="dxa"/>
            <w:vMerge w:val="continue"/>
            <w:vAlign w:val="center"/>
          </w:tcPr>
          <w:p w14:paraId="6518581D">
            <w:pPr>
              <w:pStyle w:val="179"/>
            </w:pPr>
          </w:p>
        </w:tc>
        <w:tc>
          <w:tcPr>
            <w:tcW w:w="6812" w:type="dxa"/>
            <w:vAlign w:val="center"/>
          </w:tcPr>
          <w:p w14:paraId="27035ED3">
            <w:pPr>
              <w:pStyle w:val="179"/>
              <w:adjustRightInd w:val="0"/>
              <w:snapToGrid w:val="0"/>
              <w:ind w:left="63" w:leftChars="30" w:right="63" w:rightChars="30"/>
              <w:jc w:val="both"/>
            </w:pPr>
            <w:r>
              <w:rPr>
                <w:rFonts w:hint="eastAsia"/>
              </w:rPr>
              <w:t>独立申报（0）</w:t>
            </w:r>
          </w:p>
        </w:tc>
      </w:tr>
      <w:tr w14:paraId="559B3B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34" w:type="dxa"/>
            <w:vMerge w:val="restart"/>
            <w:vAlign w:val="center"/>
          </w:tcPr>
          <w:p w14:paraId="7C1FA99C">
            <w:pPr>
              <w:pStyle w:val="179"/>
            </w:pPr>
            <w:r>
              <w:rPr>
                <w:rFonts w:hint="eastAsia"/>
              </w:rPr>
              <w:t>合作主体</w:t>
            </w:r>
          </w:p>
        </w:tc>
        <w:tc>
          <w:tcPr>
            <w:tcW w:w="1134" w:type="dxa"/>
            <w:vMerge w:val="restart"/>
            <w:vAlign w:val="center"/>
          </w:tcPr>
          <w:p w14:paraId="48E39D92">
            <w:pPr>
              <w:pStyle w:val="179"/>
            </w:pPr>
            <w:r>
              <w:rPr>
                <w:rFonts w:hint="eastAsia"/>
              </w:rPr>
              <w:t>企业</w:t>
            </w:r>
          </w:p>
        </w:tc>
        <w:tc>
          <w:tcPr>
            <w:tcW w:w="6812" w:type="dxa"/>
            <w:vAlign w:val="center"/>
          </w:tcPr>
          <w:p w14:paraId="1A2C1931">
            <w:pPr>
              <w:pStyle w:val="179"/>
              <w:adjustRightInd w:val="0"/>
              <w:snapToGrid w:val="0"/>
              <w:ind w:left="63" w:leftChars="30" w:right="63" w:rightChars="30"/>
              <w:jc w:val="both"/>
            </w:pPr>
            <w:r>
              <w:rPr>
                <w:rFonts w:hint="eastAsia"/>
              </w:rPr>
              <w:t>省内注册，且经验满3年。（2）</w:t>
            </w:r>
          </w:p>
        </w:tc>
      </w:tr>
      <w:tr w14:paraId="0D8D1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34" w:type="dxa"/>
            <w:vMerge w:val="continue"/>
            <w:vAlign w:val="center"/>
          </w:tcPr>
          <w:p w14:paraId="2669D21A">
            <w:pPr>
              <w:pStyle w:val="179"/>
            </w:pPr>
          </w:p>
        </w:tc>
        <w:tc>
          <w:tcPr>
            <w:tcW w:w="1134" w:type="dxa"/>
            <w:vMerge w:val="continue"/>
            <w:vAlign w:val="center"/>
          </w:tcPr>
          <w:p w14:paraId="41C3D1F9">
            <w:pPr>
              <w:pStyle w:val="179"/>
            </w:pPr>
          </w:p>
        </w:tc>
        <w:tc>
          <w:tcPr>
            <w:tcW w:w="6812" w:type="dxa"/>
            <w:vAlign w:val="center"/>
          </w:tcPr>
          <w:p w14:paraId="3B1C4CA5">
            <w:pPr>
              <w:pStyle w:val="179"/>
              <w:adjustRightInd w:val="0"/>
              <w:snapToGrid w:val="0"/>
              <w:ind w:left="63" w:leftChars="30" w:right="63" w:rightChars="30"/>
              <w:jc w:val="both"/>
            </w:pPr>
            <w:r>
              <w:rPr>
                <w:rFonts w:hint="eastAsia"/>
              </w:rPr>
              <w:t>属于战略性新兴产业或优势主导产业。（4）</w:t>
            </w:r>
          </w:p>
        </w:tc>
      </w:tr>
      <w:tr w14:paraId="7514A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134" w:type="dxa"/>
            <w:vMerge w:val="continue"/>
            <w:vAlign w:val="center"/>
          </w:tcPr>
          <w:p w14:paraId="5530490E">
            <w:pPr>
              <w:pStyle w:val="179"/>
            </w:pPr>
          </w:p>
        </w:tc>
        <w:tc>
          <w:tcPr>
            <w:tcW w:w="1134" w:type="dxa"/>
            <w:vMerge w:val="continue"/>
            <w:vAlign w:val="center"/>
          </w:tcPr>
          <w:p w14:paraId="6CE36F1B">
            <w:pPr>
              <w:pStyle w:val="179"/>
            </w:pPr>
          </w:p>
        </w:tc>
        <w:tc>
          <w:tcPr>
            <w:tcW w:w="6812" w:type="dxa"/>
            <w:vAlign w:val="center"/>
          </w:tcPr>
          <w:p w14:paraId="007A5E15">
            <w:pPr>
              <w:pStyle w:val="179"/>
              <w:adjustRightInd w:val="0"/>
              <w:snapToGrid w:val="0"/>
              <w:ind w:left="63" w:leftChars="30" w:right="63" w:rightChars="30"/>
              <w:jc w:val="both"/>
              <w:rPr>
                <w:color w:val="FF0000"/>
              </w:rPr>
            </w:pPr>
            <w:r>
              <w:rPr>
                <w:rFonts w:hint="eastAsia"/>
                <w:color w:val="FF0000"/>
              </w:rPr>
              <w:t>利润1000万元（含）～2000万；（1）</w:t>
            </w:r>
          </w:p>
          <w:p w14:paraId="3E965C07">
            <w:pPr>
              <w:pStyle w:val="179"/>
              <w:adjustRightInd w:val="0"/>
              <w:snapToGrid w:val="0"/>
              <w:ind w:left="63" w:leftChars="30" w:right="63" w:rightChars="30"/>
              <w:jc w:val="both"/>
              <w:rPr>
                <w:color w:val="FF0000"/>
              </w:rPr>
            </w:pPr>
            <w:r>
              <w:rPr>
                <w:rFonts w:hint="eastAsia"/>
                <w:color w:val="FF0000"/>
              </w:rPr>
              <w:t>利润2000万元（含）～3000万；（2）</w:t>
            </w:r>
          </w:p>
          <w:p w14:paraId="121154ED">
            <w:pPr>
              <w:pStyle w:val="179"/>
              <w:adjustRightInd w:val="0"/>
              <w:snapToGrid w:val="0"/>
              <w:ind w:left="63" w:leftChars="30" w:right="63" w:rightChars="30"/>
              <w:jc w:val="both"/>
            </w:pPr>
            <w:r>
              <w:rPr>
                <w:rFonts w:hint="eastAsia"/>
                <w:color w:val="FF0000"/>
              </w:rPr>
              <w:t>利润3000万元以上；          （3</w:t>
            </w:r>
            <w:r>
              <w:rPr>
                <w:rFonts w:hint="eastAsia"/>
              </w:rPr>
              <w:t>）</w:t>
            </w:r>
          </w:p>
        </w:tc>
      </w:tr>
      <w:tr w14:paraId="15B21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47" w:hRule="atLeast"/>
          <w:jc w:val="center"/>
        </w:trPr>
        <w:tc>
          <w:tcPr>
            <w:tcW w:w="1134" w:type="dxa"/>
            <w:vMerge w:val="continue"/>
            <w:vAlign w:val="center"/>
          </w:tcPr>
          <w:p w14:paraId="227C8F07">
            <w:pPr>
              <w:pStyle w:val="179"/>
            </w:pPr>
          </w:p>
        </w:tc>
        <w:tc>
          <w:tcPr>
            <w:tcW w:w="1134" w:type="dxa"/>
            <w:vMerge w:val="continue"/>
            <w:vAlign w:val="center"/>
          </w:tcPr>
          <w:p w14:paraId="692F9AEE">
            <w:pPr>
              <w:pStyle w:val="179"/>
            </w:pPr>
          </w:p>
        </w:tc>
        <w:tc>
          <w:tcPr>
            <w:tcW w:w="6812" w:type="dxa"/>
            <w:vAlign w:val="center"/>
          </w:tcPr>
          <w:p w14:paraId="00C52F43">
            <w:pPr>
              <w:pStyle w:val="179"/>
              <w:adjustRightInd w:val="0"/>
              <w:snapToGrid w:val="0"/>
              <w:ind w:left="63" w:leftChars="30" w:right="63" w:rightChars="30"/>
              <w:jc w:val="both"/>
            </w:pPr>
            <w:r>
              <w:rPr>
                <w:rFonts w:hint="eastAsia"/>
              </w:rPr>
              <w:t>很好的知识产权工作基础：知识产权管理体系完备；知识产权经费投入稳定；（3）</w:t>
            </w:r>
          </w:p>
          <w:p w14:paraId="7C324AD1">
            <w:pPr>
              <w:pStyle w:val="179"/>
              <w:adjustRightInd w:val="0"/>
              <w:snapToGrid w:val="0"/>
              <w:ind w:left="63" w:leftChars="30" w:right="63" w:rightChars="30"/>
              <w:jc w:val="both"/>
            </w:pPr>
            <w:r>
              <w:rPr>
                <w:rFonts w:hint="eastAsia"/>
              </w:rPr>
              <w:t>较好的知识产权工作基础；（2）</w:t>
            </w:r>
          </w:p>
          <w:p w14:paraId="694F73B0">
            <w:pPr>
              <w:pStyle w:val="179"/>
              <w:adjustRightInd w:val="0"/>
              <w:snapToGrid w:val="0"/>
              <w:ind w:left="63" w:leftChars="30" w:right="63" w:rightChars="30"/>
              <w:jc w:val="both"/>
            </w:pPr>
            <w:r>
              <w:rPr>
                <w:rFonts w:hint="eastAsia"/>
              </w:rPr>
              <w:t>一般的知识产权工作基础；（1）</w:t>
            </w:r>
          </w:p>
        </w:tc>
      </w:tr>
      <w:tr w14:paraId="68845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4" w:hRule="atLeast"/>
          <w:jc w:val="center"/>
        </w:trPr>
        <w:tc>
          <w:tcPr>
            <w:tcW w:w="1134" w:type="dxa"/>
            <w:vMerge w:val="continue"/>
            <w:vAlign w:val="center"/>
          </w:tcPr>
          <w:p w14:paraId="55FBCF8A">
            <w:pPr>
              <w:pStyle w:val="179"/>
            </w:pPr>
          </w:p>
        </w:tc>
        <w:tc>
          <w:tcPr>
            <w:tcW w:w="1134" w:type="dxa"/>
            <w:vMerge w:val="continue"/>
            <w:vAlign w:val="center"/>
          </w:tcPr>
          <w:p w14:paraId="32ED1E66">
            <w:pPr>
              <w:pStyle w:val="179"/>
            </w:pPr>
          </w:p>
        </w:tc>
        <w:tc>
          <w:tcPr>
            <w:tcW w:w="6812" w:type="dxa"/>
            <w:vAlign w:val="center"/>
          </w:tcPr>
          <w:p w14:paraId="6E0C28B2">
            <w:pPr>
              <w:pStyle w:val="179"/>
              <w:adjustRightInd w:val="0"/>
              <w:snapToGrid w:val="0"/>
              <w:ind w:left="63" w:leftChars="30" w:right="63" w:rightChars="30"/>
              <w:jc w:val="both"/>
              <w:rPr>
                <w:color w:val="FF0000"/>
              </w:rPr>
            </w:pPr>
            <w:r>
              <w:rPr>
                <w:rFonts w:hint="eastAsia"/>
                <w:color w:val="FF0000"/>
              </w:rPr>
              <w:t>有效发明专利70件(含)以上；（5）</w:t>
            </w:r>
          </w:p>
          <w:p w14:paraId="61EA17EC">
            <w:pPr>
              <w:pStyle w:val="179"/>
              <w:adjustRightInd w:val="0"/>
              <w:snapToGrid w:val="0"/>
              <w:ind w:left="63" w:leftChars="30" w:right="63" w:rightChars="30"/>
              <w:jc w:val="both"/>
              <w:rPr>
                <w:color w:val="FF0000"/>
              </w:rPr>
            </w:pPr>
            <w:r>
              <w:rPr>
                <w:rFonts w:hint="eastAsia"/>
                <w:color w:val="FF0000"/>
              </w:rPr>
              <w:t>有效发明专利60件(含) ～70件（不含）；（4）</w:t>
            </w:r>
          </w:p>
          <w:p w14:paraId="3A04B791">
            <w:pPr>
              <w:pStyle w:val="179"/>
              <w:adjustRightInd w:val="0"/>
              <w:snapToGrid w:val="0"/>
              <w:ind w:left="63" w:leftChars="30" w:right="63" w:rightChars="30"/>
              <w:jc w:val="both"/>
              <w:rPr>
                <w:color w:val="FF0000"/>
              </w:rPr>
            </w:pPr>
            <w:r>
              <w:rPr>
                <w:rFonts w:hint="eastAsia"/>
                <w:color w:val="FF0000"/>
              </w:rPr>
              <w:t>有效发明专利50件(含) ～60件（不含）；（3）</w:t>
            </w:r>
          </w:p>
          <w:p w14:paraId="1E9331A3">
            <w:pPr>
              <w:pStyle w:val="179"/>
              <w:adjustRightInd w:val="0"/>
              <w:snapToGrid w:val="0"/>
              <w:ind w:left="63" w:leftChars="30" w:right="63" w:rightChars="30"/>
              <w:jc w:val="both"/>
              <w:rPr>
                <w:color w:val="FF0000"/>
              </w:rPr>
            </w:pPr>
            <w:r>
              <w:rPr>
                <w:rFonts w:hint="eastAsia"/>
                <w:color w:val="FF0000"/>
              </w:rPr>
              <w:t>有效发明专利40件(含) ～50件（不含）；（2）</w:t>
            </w:r>
          </w:p>
          <w:p w14:paraId="3A290A02">
            <w:pPr>
              <w:pStyle w:val="179"/>
              <w:adjustRightInd w:val="0"/>
              <w:snapToGrid w:val="0"/>
              <w:ind w:left="63" w:leftChars="30" w:right="63" w:rightChars="30"/>
              <w:jc w:val="both"/>
            </w:pPr>
            <w:r>
              <w:rPr>
                <w:rFonts w:hint="eastAsia"/>
                <w:color w:val="FF0000"/>
              </w:rPr>
              <w:t>有效发明专利30件(含) ～40件（不含）；（1）</w:t>
            </w:r>
          </w:p>
        </w:tc>
      </w:tr>
      <w:tr w14:paraId="13A1A0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47" w:hRule="atLeast"/>
          <w:jc w:val="center"/>
        </w:trPr>
        <w:tc>
          <w:tcPr>
            <w:tcW w:w="1134" w:type="dxa"/>
            <w:vMerge w:val="continue"/>
            <w:vAlign w:val="center"/>
          </w:tcPr>
          <w:p w14:paraId="06CD05E1">
            <w:pPr>
              <w:pStyle w:val="179"/>
            </w:pPr>
          </w:p>
        </w:tc>
        <w:tc>
          <w:tcPr>
            <w:tcW w:w="1134" w:type="dxa"/>
            <w:vMerge w:val="continue"/>
            <w:vAlign w:val="center"/>
          </w:tcPr>
          <w:p w14:paraId="3A27AFDA">
            <w:pPr>
              <w:pStyle w:val="179"/>
            </w:pPr>
          </w:p>
        </w:tc>
        <w:tc>
          <w:tcPr>
            <w:tcW w:w="6812" w:type="dxa"/>
            <w:vAlign w:val="center"/>
          </w:tcPr>
          <w:p w14:paraId="2F9F1A2A">
            <w:pPr>
              <w:pStyle w:val="179"/>
              <w:adjustRightInd w:val="0"/>
              <w:snapToGrid w:val="0"/>
              <w:ind w:left="63" w:leftChars="30" w:right="63" w:rightChars="30"/>
              <w:jc w:val="both"/>
            </w:pPr>
            <w:r>
              <w:rPr>
                <w:rFonts w:hint="eastAsia"/>
              </w:rPr>
              <w:t>同时拥有国家级和省级研发中心或研发机构；（3）</w:t>
            </w:r>
          </w:p>
          <w:p w14:paraId="5559306F">
            <w:pPr>
              <w:pStyle w:val="179"/>
              <w:adjustRightInd w:val="0"/>
              <w:snapToGrid w:val="0"/>
              <w:ind w:left="63" w:leftChars="30" w:right="63" w:rightChars="30"/>
              <w:jc w:val="both"/>
            </w:pPr>
            <w:r>
              <w:rPr>
                <w:rFonts w:hint="eastAsia"/>
              </w:rPr>
              <w:t>拥有国家级研发中心或研发机构；（2）</w:t>
            </w:r>
          </w:p>
          <w:p w14:paraId="0DDD69D7">
            <w:pPr>
              <w:pStyle w:val="179"/>
              <w:adjustRightInd w:val="0"/>
              <w:snapToGrid w:val="0"/>
              <w:ind w:left="63" w:leftChars="30" w:right="63" w:rightChars="30"/>
              <w:jc w:val="both"/>
            </w:pPr>
            <w:r>
              <w:rPr>
                <w:rFonts w:hint="eastAsia"/>
              </w:rPr>
              <w:t>拥有省级研发中心或研发机构；（1）</w:t>
            </w:r>
          </w:p>
        </w:tc>
      </w:tr>
      <w:tr w14:paraId="0E23CC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134" w:type="dxa"/>
            <w:vMerge w:val="continue"/>
            <w:vAlign w:val="center"/>
          </w:tcPr>
          <w:p w14:paraId="4E614948">
            <w:pPr>
              <w:pStyle w:val="179"/>
            </w:pPr>
          </w:p>
        </w:tc>
        <w:tc>
          <w:tcPr>
            <w:tcW w:w="1134" w:type="dxa"/>
            <w:vMerge w:val="continue"/>
            <w:vAlign w:val="center"/>
          </w:tcPr>
          <w:p w14:paraId="40011647">
            <w:pPr>
              <w:pStyle w:val="179"/>
            </w:pPr>
          </w:p>
        </w:tc>
        <w:tc>
          <w:tcPr>
            <w:tcW w:w="6812" w:type="dxa"/>
            <w:vAlign w:val="center"/>
          </w:tcPr>
          <w:p w14:paraId="2928CD18">
            <w:pPr>
              <w:pStyle w:val="179"/>
              <w:adjustRightInd w:val="0"/>
              <w:snapToGrid w:val="0"/>
              <w:ind w:left="63" w:leftChars="30" w:right="63" w:rightChars="30"/>
              <w:jc w:val="both"/>
            </w:pPr>
            <w:r>
              <w:rPr>
                <w:rFonts w:hint="eastAsia"/>
              </w:rPr>
              <w:t>近三年没有出现恶意侵犯他人知识产权、生产销售假冒伪劣商品，社会资信较好；（2）</w:t>
            </w:r>
          </w:p>
        </w:tc>
      </w:tr>
    </w:tbl>
    <w:p w14:paraId="354E2466">
      <w:pPr>
        <w:pStyle w:val="57"/>
        <w:ind w:firstLine="420"/>
      </w:pPr>
    </w:p>
    <w:p w14:paraId="0F878EE6">
      <w:pPr>
        <w:pStyle w:val="57"/>
        <w:ind w:firstLine="420"/>
      </w:pPr>
    </w:p>
    <w:p w14:paraId="7B99009F">
      <w:pPr>
        <w:pStyle w:val="57"/>
        <w:spacing w:before="120" w:beforeLines="50" w:after="120" w:afterLines="50"/>
        <w:ind w:firstLine="0" w:firstLineChars="0"/>
        <w:jc w:val="center"/>
        <w:rPr>
          <w:rFonts w:ascii="黑体" w:hAnsi="黑体" w:eastAsia="黑体"/>
        </w:rPr>
      </w:pPr>
      <w:r>
        <w:rPr>
          <w:rFonts w:hint="eastAsia" w:ascii="黑体" w:hAnsi="黑体" w:eastAsia="黑体"/>
        </w:rPr>
        <w:t>表A.1  河南省高价值专利培育中心认定指标体系</w:t>
      </w:r>
      <w:r>
        <w:rPr>
          <w:rFonts w:hint="eastAsia" w:ascii="宋体" w:hAnsi="宋体"/>
        </w:rPr>
        <w:t>（续）</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34"/>
        <w:gridCol w:w="1134"/>
        <w:gridCol w:w="6812"/>
      </w:tblGrid>
      <w:tr w14:paraId="15ECF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134" w:type="dxa"/>
            <w:tcBorders>
              <w:top w:val="single" w:color="auto" w:sz="8" w:space="0"/>
              <w:bottom w:val="single" w:color="auto" w:sz="8" w:space="0"/>
            </w:tcBorders>
            <w:vAlign w:val="center"/>
          </w:tcPr>
          <w:p w14:paraId="46824C83">
            <w:pPr>
              <w:pStyle w:val="179"/>
            </w:pPr>
            <w:r>
              <w:rPr>
                <w:rFonts w:hint="eastAsia"/>
              </w:rPr>
              <w:t>一级指标</w:t>
            </w:r>
          </w:p>
        </w:tc>
        <w:tc>
          <w:tcPr>
            <w:tcW w:w="1134" w:type="dxa"/>
            <w:tcBorders>
              <w:top w:val="single" w:color="auto" w:sz="8" w:space="0"/>
              <w:bottom w:val="single" w:color="auto" w:sz="8" w:space="0"/>
            </w:tcBorders>
            <w:vAlign w:val="center"/>
          </w:tcPr>
          <w:p w14:paraId="0C3F1455">
            <w:pPr>
              <w:pStyle w:val="179"/>
            </w:pPr>
            <w:r>
              <w:rPr>
                <w:rFonts w:hint="eastAsia"/>
              </w:rPr>
              <w:t>二级指标</w:t>
            </w:r>
          </w:p>
        </w:tc>
        <w:tc>
          <w:tcPr>
            <w:tcW w:w="6812" w:type="dxa"/>
            <w:tcBorders>
              <w:top w:val="single" w:color="auto" w:sz="8" w:space="0"/>
              <w:bottom w:val="single" w:color="auto" w:sz="8" w:space="0"/>
            </w:tcBorders>
            <w:vAlign w:val="center"/>
          </w:tcPr>
          <w:p w14:paraId="63D0F40C">
            <w:pPr>
              <w:pStyle w:val="179"/>
            </w:pPr>
            <w:r>
              <w:rPr>
                <w:rFonts w:hint="eastAsia"/>
              </w:rPr>
              <w:t>评分内容（分）</w:t>
            </w:r>
          </w:p>
        </w:tc>
      </w:tr>
      <w:tr w14:paraId="77049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46" w:hRule="atLeast"/>
          <w:jc w:val="center"/>
        </w:trPr>
        <w:tc>
          <w:tcPr>
            <w:tcW w:w="1134" w:type="dxa"/>
            <w:vMerge w:val="restart"/>
            <w:vAlign w:val="center"/>
          </w:tcPr>
          <w:p w14:paraId="69A84BD7">
            <w:pPr>
              <w:pStyle w:val="179"/>
            </w:pPr>
            <w:r>
              <w:rPr>
                <w:rFonts w:hint="eastAsia"/>
              </w:rPr>
              <w:t>合作主体</w:t>
            </w:r>
          </w:p>
        </w:tc>
        <w:tc>
          <w:tcPr>
            <w:tcW w:w="1134" w:type="dxa"/>
            <w:vMerge w:val="restart"/>
            <w:vAlign w:val="center"/>
          </w:tcPr>
          <w:p w14:paraId="06A7002A">
            <w:pPr>
              <w:pStyle w:val="179"/>
            </w:pPr>
            <w:r>
              <w:rPr>
                <w:rFonts w:hint="eastAsia"/>
              </w:rPr>
              <w:t>高校、</w:t>
            </w:r>
          </w:p>
          <w:p w14:paraId="45D627B9">
            <w:pPr>
              <w:pStyle w:val="179"/>
            </w:pPr>
            <w:r>
              <w:rPr>
                <w:rFonts w:hint="eastAsia"/>
              </w:rPr>
              <w:t>科研机构</w:t>
            </w:r>
          </w:p>
        </w:tc>
        <w:tc>
          <w:tcPr>
            <w:tcW w:w="6812" w:type="dxa"/>
            <w:vAlign w:val="center"/>
          </w:tcPr>
          <w:p w14:paraId="055C9333">
            <w:pPr>
              <w:pStyle w:val="179"/>
              <w:adjustRightInd w:val="0"/>
              <w:snapToGrid w:val="0"/>
              <w:ind w:left="63" w:leftChars="30" w:right="63" w:rightChars="30"/>
              <w:jc w:val="both"/>
            </w:pPr>
            <w:r>
              <w:rPr>
                <w:rFonts w:hint="eastAsia"/>
              </w:rPr>
              <w:t>拥有很好的产学研合作基础,已与国内著名高校、科研院所建立紧密的合作关系，通过项目研发攻关等各种形式已取得良好科研成效，且专利权属清晰。（3）</w:t>
            </w:r>
          </w:p>
          <w:p w14:paraId="22CAF004">
            <w:pPr>
              <w:pStyle w:val="179"/>
              <w:adjustRightInd w:val="0"/>
              <w:snapToGrid w:val="0"/>
              <w:ind w:left="63" w:leftChars="30" w:right="63" w:rightChars="30"/>
              <w:jc w:val="both"/>
            </w:pPr>
            <w:r>
              <w:rPr>
                <w:rFonts w:hint="eastAsia"/>
              </w:rPr>
              <w:t>较好的合作基础；（2）</w:t>
            </w:r>
          </w:p>
          <w:p w14:paraId="5EEB6033">
            <w:pPr>
              <w:pStyle w:val="179"/>
              <w:adjustRightInd w:val="0"/>
              <w:snapToGrid w:val="0"/>
              <w:ind w:left="63" w:leftChars="30" w:right="63" w:rightChars="30"/>
              <w:jc w:val="both"/>
            </w:pPr>
            <w:r>
              <w:rPr>
                <w:rFonts w:hint="eastAsia"/>
              </w:rPr>
              <w:t>一般的合作基础；（1）</w:t>
            </w:r>
          </w:p>
        </w:tc>
      </w:tr>
      <w:tr w14:paraId="787A9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134" w:type="dxa"/>
            <w:vMerge w:val="continue"/>
            <w:vAlign w:val="center"/>
          </w:tcPr>
          <w:p w14:paraId="377ED281">
            <w:pPr>
              <w:pStyle w:val="179"/>
            </w:pPr>
          </w:p>
        </w:tc>
        <w:tc>
          <w:tcPr>
            <w:tcW w:w="1134" w:type="dxa"/>
            <w:vMerge w:val="continue"/>
            <w:vAlign w:val="center"/>
          </w:tcPr>
          <w:p w14:paraId="5F102B0D">
            <w:pPr>
              <w:pStyle w:val="179"/>
            </w:pPr>
          </w:p>
        </w:tc>
        <w:tc>
          <w:tcPr>
            <w:tcW w:w="6812" w:type="dxa"/>
            <w:vAlign w:val="center"/>
          </w:tcPr>
          <w:p w14:paraId="52952F1C">
            <w:pPr>
              <w:pStyle w:val="179"/>
              <w:adjustRightInd w:val="0"/>
              <w:snapToGrid w:val="0"/>
              <w:ind w:left="63" w:leftChars="30" w:right="63" w:rightChars="30"/>
              <w:jc w:val="both"/>
            </w:pPr>
            <w:r>
              <w:rPr>
                <w:rFonts w:hint="eastAsia"/>
              </w:rPr>
              <w:t>很好的知识产权工作基础：知识产权管理体系完备；知识产权经费投入稳定；（3）</w:t>
            </w:r>
          </w:p>
          <w:p w14:paraId="78AD5B3E">
            <w:pPr>
              <w:pStyle w:val="179"/>
              <w:adjustRightInd w:val="0"/>
              <w:snapToGrid w:val="0"/>
              <w:ind w:left="63" w:leftChars="30" w:right="63" w:rightChars="30"/>
              <w:jc w:val="both"/>
            </w:pPr>
            <w:r>
              <w:rPr>
                <w:rFonts w:hint="eastAsia"/>
              </w:rPr>
              <w:t>较好的知识产权工作基础；（2）</w:t>
            </w:r>
          </w:p>
          <w:p w14:paraId="16561A27">
            <w:pPr>
              <w:pStyle w:val="179"/>
              <w:adjustRightInd w:val="0"/>
              <w:snapToGrid w:val="0"/>
              <w:ind w:left="63" w:leftChars="30" w:right="63" w:rightChars="30"/>
              <w:jc w:val="both"/>
            </w:pPr>
            <w:r>
              <w:rPr>
                <w:rFonts w:hint="eastAsia"/>
              </w:rPr>
              <w:t>一般的知识产权工作基础；（1）</w:t>
            </w:r>
          </w:p>
        </w:tc>
      </w:tr>
      <w:tr w14:paraId="3CE99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1134" w:type="dxa"/>
            <w:vMerge w:val="continue"/>
            <w:vAlign w:val="center"/>
          </w:tcPr>
          <w:p w14:paraId="0A209CC2">
            <w:pPr>
              <w:pStyle w:val="179"/>
            </w:pPr>
          </w:p>
        </w:tc>
        <w:tc>
          <w:tcPr>
            <w:tcW w:w="1134" w:type="dxa"/>
            <w:vMerge w:val="continue"/>
            <w:vAlign w:val="center"/>
          </w:tcPr>
          <w:p w14:paraId="0C15BA26">
            <w:pPr>
              <w:pStyle w:val="179"/>
            </w:pPr>
          </w:p>
        </w:tc>
        <w:tc>
          <w:tcPr>
            <w:tcW w:w="6812" w:type="dxa"/>
            <w:vAlign w:val="center"/>
          </w:tcPr>
          <w:p w14:paraId="7B23F262">
            <w:pPr>
              <w:pStyle w:val="179"/>
              <w:adjustRightInd w:val="0"/>
              <w:snapToGrid w:val="0"/>
              <w:ind w:left="63" w:leftChars="30" w:right="63" w:rightChars="30"/>
              <w:jc w:val="both"/>
            </w:pPr>
            <w:r>
              <w:rPr>
                <w:rFonts w:hint="eastAsia"/>
              </w:rPr>
              <w:t>同时拥有国家级和省级研发中心或研发机构；（3）</w:t>
            </w:r>
          </w:p>
          <w:p w14:paraId="2C86F77B">
            <w:pPr>
              <w:pStyle w:val="179"/>
              <w:adjustRightInd w:val="0"/>
              <w:snapToGrid w:val="0"/>
              <w:ind w:left="63" w:leftChars="30" w:right="63" w:rightChars="30"/>
              <w:jc w:val="both"/>
            </w:pPr>
            <w:r>
              <w:rPr>
                <w:rFonts w:hint="eastAsia"/>
              </w:rPr>
              <w:t>拥有国家级研发中心或研发机构；（2）</w:t>
            </w:r>
          </w:p>
          <w:p w14:paraId="1B8CD680">
            <w:pPr>
              <w:pStyle w:val="179"/>
              <w:adjustRightInd w:val="0"/>
              <w:snapToGrid w:val="0"/>
              <w:ind w:left="63" w:leftChars="30" w:right="63" w:rightChars="30"/>
              <w:jc w:val="both"/>
            </w:pPr>
            <w:r>
              <w:rPr>
                <w:rFonts w:hint="eastAsia"/>
              </w:rPr>
              <w:t>拥有省级研发中心或研发机构；（1）</w:t>
            </w:r>
          </w:p>
        </w:tc>
      </w:tr>
      <w:tr w14:paraId="17BFB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38" w:hRule="atLeast"/>
          <w:jc w:val="center"/>
        </w:trPr>
        <w:tc>
          <w:tcPr>
            <w:tcW w:w="1134" w:type="dxa"/>
            <w:vMerge w:val="continue"/>
            <w:vAlign w:val="center"/>
          </w:tcPr>
          <w:p w14:paraId="452D8A14">
            <w:pPr>
              <w:pStyle w:val="179"/>
            </w:pPr>
          </w:p>
        </w:tc>
        <w:tc>
          <w:tcPr>
            <w:tcW w:w="1134" w:type="dxa"/>
            <w:vMerge w:val="continue"/>
            <w:vAlign w:val="center"/>
          </w:tcPr>
          <w:p w14:paraId="5E92A490">
            <w:pPr>
              <w:pStyle w:val="179"/>
            </w:pPr>
          </w:p>
        </w:tc>
        <w:tc>
          <w:tcPr>
            <w:tcW w:w="6812" w:type="dxa"/>
            <w:vAlign w:val="center"/>
          </w:tcPr>
          <w:p w14:paraId="416A7F65">
            <w:pPr>
              <w:pStyle w:val="179"/>
              <w:adjustRightInd w:val="0"/>
              <w:snapToGrid w:val="0"/>
              <w:ind w:left="63" w:leftChars="30" w:right="63" w:rightChars="30"/>
              <w:jc w:val="both"/>
              <w:rPr>
                <w:color w:val="FF0000"/>
              </w:rPr>
            </w:pPr>
            <w:r>
              <w:rPr>
                <w:rFonts w:hint="eastAsia"/>
                <w:color w:val="FF0000"/>
              </w:rPr>
              <w:t>高校有效发明专利：</w:t>
            </w:r>
          </w:p>
          <w:p w14:paraId="2E998A9D">
            <w:pPr>
              <w:pStyle w:val="179"/>
              <w:adjustRightInd w:val="0"/>
              <w:snapToGrid w:val="0"/>
              <w:ind w:left="63" w:leftChars="30" w:right="63" w:rightChars="30"/>
              <w:jc w:val="both"/>
              <w:rPr>
                <w:color w:val="FF0000"/>
              </w:rPr>
            </w:pPr>
            <w:r>
              <w:rPr>
                <w:rFonts w:hint="eastAsia"/>
                <w:color w:val="FF0000"/>
              </w:rPr>
              <w:t xml:space="preserve">         ≥500件；10分</w:t>
            </w:r>
          </w:p>
          <w:p w14:paraId="73E1A046">
            <w:pPr>
              <w:pStyle w:val="179"/>
              <w:adjustRightInd w:val="0"/>
              <w:snapToGrid w:val="0"/>
              <w:ind w:left="63" w:leftChars="30" w:right="63" w:rightChars="30"/>
              <w:jc w:val="both"/>
              <w:rPr>
                <w:color w:val="FF0000"/>
              </w:rPr>
            </w:pPr>
            <w:r>
              <w:rPr>
                <w:rFonts w:hint="eastAsia"/>
                <w:color w:val="FF0000"/>
              </w:rPr>
              <w:t xml:space="preserve">         300～499件；8分</w:t>
            </w:r>
          </w:p>
          <w:p w14:paraId="69C322DE">
            <w:pPr>
              <w:pStyle w:val="179"/>
              <w:adjustRightInd w:val="0"/>
              <w:snapToGrid w:val="0"/>
              <w:ind w:left="63" w:leftChars="30" w:right="63" w:rightChars="30"/>
              <w:jc w:val="both"/>
              <w:rPr>
                <w:color w:val="FF0000"/>
              </w:rPr>
            </w:pPr>
            <w:r>
              <w:rPr>
                <w:rFonts w:hint="eastAsia"/>
                <w:color w:val="FF0000"/>
              </w:rPr>
              <w:t xml:space="preserve">         200～299件；5分</w:t>
            </w:r>
          </w:p>
          <w:p w14:paraId="073BE869">
            <w:pPr>
              <w:pStyle w:val="179"/>
              <w:adjustRightInd w:val="0"/>
              <w:snapToGrid w:val="0"/>
              <w:ind w:left="63" w:leftChars="30" w:right="63" w:rightChars="30"/>
              <w:jc w:val="both"/>
              <w:rPr>
                <w:color w:val="FF0000"/>
              </w:rPr>
            </w:pPr>
            <w:r>
              <w:rPr>
                <w:rFonts w:hint="eastAsia"/>
                <w:color w:val="FF0000"/>
              </w:rPr>
              <w:t>科研机构有效发明专利：</w:t>
            </w:r>
          </w:p>
          <w:p w14:paraId="2B99C8FA">
            <w:pPr>
              <w:pStyle w:val="179"/>
              <w:adjustRightInd w:val="0"/>
              <w:snapToGrid w:val="0"/>
              <w:ind w:left="63" w:leftChars="30" w:right="63" w:rightChars="30"/>
              <w:jc w:val="both"/>
              <w:rPr>
                <w:color w:val="FF0000"/>
              </w:rPr>
            </w:pPr>
            <w:r>
              <w:rPr>
                <w:rFonts w:hint="eastAsia"/>
                <w:color w:val="FF0000"/>
              </w:rPr>
              <w:t xml:space="preserve">         ≥200件；10分</w:t>
            </w:r>
          </w:p>
          <w:p w14:paraId="43DE79D1">
            <w:pPr>
              <w:pStyle w:val="179"/>
              <w:adjustRightInd w:val="0"/>
              <w:snapToGrid w:val="0"/>
              <w:ind w:left="63" w:leftChars="30" w:right="63" w:rightChars="30"/>
              <w:jc w:val="both"/>
            </w:pPr>
            <w:r>
              <w:rPr>
                <w:rFonts w:hint="eastAsia"/>
                <w:color w:val="FF0000"/>
              </w:rPr>
              <w:t xml:space="preserve">         100～199件；8分</w:t>
            </w:r>
          </w:p>
        </w:tc>
      </w:tr>
      <w:tr w14:paraId="55249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4" w:type="dxa"/>
            <w:vMerge w:val="continue"/>
            <w:vAlign w:val="center"/>
          </w:tcPr>
          <w:p w14:paraId="51CA670D">
            <w:pPr>
              <w:pStyle w:val="179"/>
            </w:pPr>
          </w:p>
        </w:tc>
        <w:tc>
          <w:tcPr>
            <w:tcW w:w="1134" w:type="dxa"/>
            <w:vMerge w:val="continue"/>
            <w:vAlign w:val="center"/>
          </w:tcPr>
          <w:p w14:paraId="044BB445">
            <w:pPr>
              <w:pStyle w:val="179"/>
            </w:pPr>
          </w:p>
        </w:tc>
        <w:tc>
          <w:tcPr>
            <w:tcW w:w="6812" w:type="dxa"/>
            <w:vAlign w:val="center"/>
          </w:tcPr>
          <w:p w14:paraId="7ECBB136">
            <w:pPr>
              <w:pStyle w:val="179"/>
              <w:adjustRightInd w:val="0"/>
              <w:snapToGrid w:val="0"/>
              <w:ind w:left="63" w:leftChars="30" w:right="63" w:rightChars="30"/>
              <w:jc w:val="both"/>
            </w:pPr>
            <w:r>
              <w:rPr>
                <w:rFonts w:hint="eastAsia"/>
              </w:rPr>
              <w:t>未来产业、战略性新兴产业所涉技术领域有效发明专利≥10 件</w:t>
            </w:r>
          </w:p>
        </w:tc>
      </w:tr>
      <w:tr w14:paraId="4D1D2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134" w:type="dxa"/>
            <w:vMerge w:val="continue"/>
            <w:vAlign w:val="center"/>
          </w:tcPr>
          <w:p w14:paraId="1C04557D">
            <w:pPr>
              <w:pStyle w:val="179"/>
            </w:pPr>
          </w:p>
        </w:tc>
        <w:tc>
          <w:tcPr>
            <w:tcW w:w="1134" w:type="dxa"/>
            <w:vMerge w:val="restart"/>
            <w:vAlign w:val="center"/>
          </w:tcPr>
          <w:p w14:paraId="0C0671CC">
            <w:pPr>
              <w:pStyle w:val="179"/>
            </w:pPr>
            <w:r>
              <w:rPr>
                <w:rFonts w:hint="eastAsia"/>
              </w:rPr>
              <w:t>医疗卫生机构</w:t>
            </w:r>
          </w:p>
        </w:tc>
        <w:tc>
          <w:tcPr>
            <w:tcW w:w="6812" w:type="dxa"/>
            <w:vAlign w:val="center"/>
          </w:tcPr>
          <w:p w14:paraId="76C20F16">
            <w:pPr>
              <w:pStyle w:val="179"/>
              <w:adjustRightInd w:val="0"/>
              <w:snapToGrid w:val="0"/>
              <w:ind w:left="63" w:leftChars="30" w:right="63" w:rightChars="30"/>
              <w:jc w:val="both"/>
            </w:pPr>
            <w:r>
              <w:rPr>
                <w:rFonts w:hint="eastAsia"/>
              </w:rPr>
              <w:t>三甲医院；（5）</w:t>
            </w:r>
          </w:p>
        </w:tc>
      </w:tr>
      <w:tr w14:paraId="178709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7" w:hRule="atLeast"/>
          <w:jc w:val="center"/>
        </w:trPr>
        <w:tc>
          <w:tcPr>
            <w:tcW w:w="1134" w:type="dxa"/>
            <w:vMerge w:val="continue"/>
            <w:vAlign w:val="center"/>
          </w:tcPr>
          <w:p w14:paraId="60813F9F">
            <w:pPr>
              <w:pStyle w:val="179"/>
            </w:pPr>
          </w:p>
        </w:tc>
        <w:tc>
          <w:tcPr>
            <w:tcW w:w="1134" w:type="dxa"/>
            <w:vMerge w:val="continue"/>
            <w:vAlign w:val="center"/>
          </w:tcPr>
          <w:p w14:paraId="0B1A5A7B">
            <w:pPr>
              <w:pStyle w:val="179"/>
            </w:pPr>
          </w:p>
        </w:tc>
        <w:tc>
          <w:tcPr>
            <w:tcW w:w="6812" w:type="dxa"/>
            <w:vAlign w:val="center"/>
          </w:tcPr>
          <w:p w14:paraId="1E39BD35">
            <w:pPr>
              <w:pStyle w:val="179"/>
              <w:adjustRightInd w:val="0"/>
              <w:snapToGrid w:val="0"/>
              <w:ind w:left="63" w:leftChars="30" w:right="63" w:rightChars="30"/>
              <w:jc w:val="both"/>
            </w:pPr>
            <w:r>
              <w:rPr>
                <w:rFonts w:hint="eastAsia"/>
              </w:rPr>
              <w:t>同时拥有国家级和省级研发中心或研发机构；（5）</w:t>
            </w:r>
          </w:p>
          <w:p w14:paraId="11317FC4">
            <w:pPr>
              <w:pStyle w:val="179"/>
              <w:adjustRightInd w:val="0"/>
              <w:snapToGrid w:val="0"/>
              <w:ind w:left="63" w:leftChars="30" w:right="63" w:rightChars="30"/>
              <w:jc w:val="both"/>
            </w:pPr>
            <w:r>
              <w:rPr>
                <w:rFonts w:hint="eastAsia"/>
              </w:rPr>
              <w:t>拥有国家级研发中心或研发机构；（3）</w:t>
            </w:r>
          </w:p>
          <w:p w14:paraId="4F1490C5">
            <w:pPr>
              <w:pStyle w:val="179"/>
              <w:adjustRightInd w:val="0"/>
              <w:snapToGrid w:val="0"/>
              <w:ind w:left="63" w:leftChars="30" w:right="63" w:rightChars="30"/>
              <w:jc w:val="both"/>
            </w:pPr>
            <w:r>
              <w:rPr>
                <w:rFonts w:hint="eastAsia"/>
              </w:rPr>
              <w:t>拥有省级研发中心或研发机构；（1）</w:t>
            </w:r>
          </w:p>
        </w:tc>
      </w:tr>
      <w:tr w14:paraId="3D4E7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134" w:type="dxa"/>
            <w:vMerge w:val="continue"/>
            <w:vAlign w:val="center"/>
          </w:tcPr>
          <w:p w14:paraId="5C27B991">
            <w:pPr>
              <w:pStyle w:val="179"/>
            </w:pPr>
          </w:p>
        </w:tc>
        <w:tc>
          <w:tcPr>
            <w:tcW w:w="1134" w:type="dxa"/>
            <w:vMerge w:val="continue"/>
            <w:vAlign w:val="center"/>
          </w:tcPr>
          <w:p w14:paraId="47241E39">
            <w:pPr>
              <w:pStyle w:val="179"/>
            </w:pPr>
          </w:p>
        </w:tc>
        <w:tc>
          <w:tcPr>
            <w:tcW w:w="6812" w:type="dxa"/>
            <w:vAlign w:val="center"/>
          </w:tcPr>
          <w:p w14:paraId="292E3536">
            <w:pPr>
              <w:pStyle w:val="179"/>
              <w:adjustRightInd w:val="0"/>
              <w:snapToGrid w:val="0"/>
              <w:ind w:left="63" w:leftChars="30" w:right="63" w:rightChars="30"/>
              <w:jc w:val="both"/>
              <w:rPr>
                <w:color w:val="FF0000"/>
              </w:rPr>
            </w:pPr>
            <w:r>
              <w:rPr>
                <w:rFonts w:hint="eastAsia"/>
                <w:color w:val="FF0000"/>
              </w:rPr>
              <w:t>有效发明专利≥200件，上年度授权≥60件；（10）</w:t>
            </w:r>
          </w:p>
          <w:p w14:paraId="78F0FAFE">
            <w:pPr>
              <w:pStyle w:val="179"/>
              <w:adjustRightInd w:val="0"/>
              <w:snapToGrid w:val="0"/>
              <w:ind w:left="63" w:leftChars="30" w:right="63" w:rightChars="30"/>
              <w:jc w:val="both"/>
            </w:pPr>
            <w:r>
              <w:rPr>
                <w:rFonts w:hint="eastAsia"/>
                <w:color w:val="FF0000"/>
              </w:rPr>
              <w:t>有效发明专利≥100件，上年度授权≥30件；（8）</w:t>
            </w:r>
          </w:p>
        </w:tc>
      </w:tr>
      <w:tr w14:paraId="2AE9B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34" w:type="dxa"/>
            <w:vMerge w:val="continue"/>
            <w:vAlign w:val="center"/>
          </w:tcPr>
          <w:p w14:paraId="4CF78F60">
            <w:pPr>
              <w:pStyle w:val="179"/>
            </w:pPr>
          </w:p>
        </w:tc>
        <w:tc>
          <w:tcPr>
            <w:tcW w:w="1134" w:type="dxa"/>
            <w:vMerge w:val="restart"/>
            <w:vAlign w:val="center"/>
          </w:tcPr>
          <w:p w14:paraId="5629F1BA">
            <w:pPr>
              <w:pStyle w:val="179"/>
            </w:pPr>
            <w:r>
              <w:rPr>
                <w:rFonts w:hint="eastAsia"/>
              </w:rPr>
              <w:t>知识产权服务机构</w:t>
            </w:r>
          </w:p>
        </w:tc>
        <w:tc>
          <w:tcPr>
            <w:tcW w:w="6812" w:type="dxa"/>
          </w:tcPr>
          <w:p w14:paraId="4D7BCF53">
            <w:pPr>
              <w:pStyle w:val="179"/>
              <w:adjustRightInd w:val="0"/>
              <w:snapToGrid w:val="0"/>
              <w:ind w:left="63" w:leftChars="30" w:right="63" w:rightChars="30"/>
              <w:jc w:val="both"/>
            </w:pPr>
            <w:r>
              <w:rPr>
                <w:rFonts w:hint="eastAsia"/>
              </w:rPr>
              <w:t>取得《专利代理机构注册证》，且经营满3年； （5）</w:t>
            </w:r>
          </w:p>
        </w:tc>
      </w:tr>
      <w:tr w14:paraId="7D9B3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34" w:type="dxa"/>
            <w:vMerge w:val="continue"/>
            <w:vAlign w:val="center"/>
          </w:tcPr>
          <w:p w14:paraId="13ECC753">
            <w:pPr>
              <w:pStyle w:val="179"/>
            </w:pPr>
          </w:p>
        </w:tc>
        <w:tc>
          <w:tcPr>
            <w:tcW w:w="1134" w:type="dxa"/>
            <w:vMerge w:val="continue"/>
          </w:tcPr>
          <w:p w14:paraId="65DE2658">
            <w:pPr>
              <w:pStyle w:val="179"/>
            </w:pPr>
          </w:p>
        </w:tc>
        <w:tc>
          <w:tcPr>
            <w:tcW w:w="6812" w:type="dxa"/>
            <w:vAlign w:val="center"/>
          </w:tcPr>
          <w:p w14:paraId="2E0642D7">
            <w:pPr>
              <w:pStyle w:val="179"/>
              <w:adjustRightInd w:val="0"/>
              <w:snapToGrid w:val="0"/>
              <w:ind w:left="63" w:leftChars="30" w:right="63" w:rightChars="30"/>
              <w:jc w:val="both"/>
            </w:pPr>
            <w:r>
              <w:rPr>
                <w:rFonts w:hint="eastAsia"/>
              </w:rPr>
              <w:t>从业人员数量≥40人，执业专利代理师≥5 人；（5）</w:t>
            </w:r>
          </w:p>
        </w:tc>
      </w:tr>
      <w:tr w14:paraId="40CE7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34" w:type="dxa"/>
            <w:vMerge w:val="continue"/>
            <w:vAlign w:val="center"/>
          </w:tcPr>
          <w:p w14:paraId="5CF02114">
            <w:pPr>
              <w:pStyle w:val="179"/>
            </w:pPr>
          </w:p>
        </w:tc>
        <w:tc>
          <w:tcPr>
            <w:tcW w:w="1134" w:type="dxa"/>
            <w:vMerge w:val="continue"/>
          </w:tcPr>
          <w:p w14:paraId="7D4746EA">
            <w:pPr>
              <w:pStyle w:val="179"/>
            </w:pPr>
          </w:p>
        </w:tc>
        <w:tc>
          <w:tcPr>
            <w:tcW w:w="6812" w:type="dxa"/>
            <w:vAlign w:val="center"/>
          </w:tcPr>
          <w:p w14:paraId="2EF0B251">
            <w:pPr>
              <w:pStyle w:val="179"/>
              <w:adjustRightInd w:val="0"/>
              <w:snapToGrid w:val="0"/>
              <w:ind w:left="63" w:leftChars="30" w:right="63" w:rightChars="30"/>
              <w:jc w:val="both"/>
            </w:pPr>
            <w:r>
              <w:rPr>
                <w:rFonts w:hint="eastAsia"/>
              </w:rPr>
              <w:t>进入国家知识产权局“精准服务保障名单”； （5）</w:t>
            </w:r>
          </w:p>
        </w:tc>
      </w:tr>
      <w:tr w14:paraId="612842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134" w:type="dxa"/>
            <w:vMerge w:val="continue"/>
            <w:vAlign w:val="center"/>
          </w:tcPr>
          <w:p w14:paraId="686E2478">
            <w:pPr>
              <w:pStyle w:val="179"/>
            </w:pPr>
          </w:p>
        </w:tc>
        <w:tc>
          <w:tcPr>
            <w:tcW w:w="1134" w:type="dxa"/>
            <w:vMerge w:val="continue"/>
            <w:vAlign w:val="center"/>
          </w:tcPr>
          <w:p w14:paraId="177F9C4E">
            <w:pPr>
              <w:pStyle w:val="179"/>
            </w:pPr>
          </w:p>
        </w:tc>
        <w:tc>
          <w:tcPr>
            <w:tcW w:w="6812" w:type="dxa"/>
            <w:vAlign w:val="center"/>
          </w:tcPr>
          <w:p w14:paraId="61128DA3">
            <w:pPr>
              <w:pStyle w:val="179"/>
              <w:adjustRightInd w:val="0"/>
              <w:snapToGrid w:val="0"/>
              <w:ind w:left="63" w:leftChars="30" w:right="63" w:rightChars="30"/>
              <w:jc w:val="both"/>
            </w:pPr>
            <w:r>
              <w:rPr>
                <w:rFonts w:hint="eastAsia"/>
              </w:rPr>
              <w:t>拥有良好的经营状况及信誉度；（5）</w:t>
            </w:r>
          </w:p>
          <w:p w14:paraId="5AE2963D">
            <w:pPr>
              <w:pStyle w:val="179"/>
              <w:adjustRightInd w:val="0"/>
              <w:snapToGrid w:val="0"/>
              <w:ind w:left="63" w:leftChars="30" w:right="63" w:rightChars="30"/>
              <w:jc w:val="both"/>
            </w:pPr>
            <w:r>
              <w:rPr>
                <w:rFonts w:hint="eastAsia"/>
              </w:rPr>
              <w:t>拥有较好的经营状况及信誉度；（3）</w:t>
            </w:r>
            <w:bookmarkStart w:id="90" w:name="_GoBack"/>
            <w:bookmarkEnd w:id="90"/>
          </w:p>
          <w:p w14:paraId="29BFBEFF">
            <w:pPr>
              <w:pStyle w:val="179"/>
              <w:adjustRightInd w:val="0"/>
              <w:snapToGrid w:val="0"/>
              <w:ind w:left="63" w:leftChars="30" w:right="63" w:rightChars="30"/>
              <w:jc w:val="both"/>
            </w:pPr>
            <w:r>
              <w:rPr>
                <w:rFonts w:hint="eastAsia"/>
              </w:rPr>
              <w:t>经营状况及信誉度一般；（1）</w:t>
            </w:r>
          </w:p>
        </w:tc>
      </w:tr>
      <w:tr w14:paraId="3973B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34" w:type="dxa"/>
            <w:vMerge w:val="restart"/>
            <w:vAlign w:val="center"/>
          </w:tcPr>
          <w:p w14:paraId="4A5CCD74">
            <w:pPr>
              <w:pStyle w:val="179"/>
            </w:pPr>
            <w:r>
              <w:rPr>
                <w:rFonts w:hint="eastAsia"/>
              </w:rPr>
              <w:t>合作机制</w:t>
            </w:r>
          </w:p>
        </w:tc>
        <w:tc>
          <w:tcPr>
            <w:tcW w:w="1134" w:type="dxa"/>
            <w:vAlign w:val="center"/>
          </w:tcPr>
          <w:p w14:paraId="713403C5">
            <w:pPr>
              <w:pStyle w:val="179"/>
            </w:pPr>
            <w:r>
              <w:rPr>
                <w:rFonts w:hint="eastAsia"/>
              </w:rPr>
              <w:t>议事机制</w:t>
            </w:r>
          </w:p>
        </w:tc>
        <w:tc>
          <w:tcPr>
            <w:tcW w:w="6812" w:type="dxa"/>
            <w:vAlign w:val="center"/>
          </w:tcPr>
          <w:p w14:paraId="41B6F8F7">
            <w:pPr>
              <w:pStyle w:val="179"/>
              <w:adjustRightInd w:val="0"/>
              <w:snapToGrid w:val="0"/>
              <w:ind w:left="63" w:leftChars="30" w:right="63" w:rightChars="30"/>
              <w:jc w:val="both"/>
            </w:pPr>
            <w:r>
              <w:rPr>
                <w:rFonts w:hint="eastAsia"/>
              </w:rPr>
              <w:t>拥有多方参与的知识产权议事机制，负责信息平台建设、专利导航、专利布局、发明披露审查等重大事务的决策等；（4）</w:t>
            </w:r>
          </w:p>
        </w:tc>
      </w:tr>
      <w:tr w14:paraId="2BA9B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1134" w:type="dxa"/>
            <w:vMerge w:val="continue"/>
            <w:vAlign w:val="center"/>
          </w:tcPr>
          <w:p w14:paraId="4AE40982">
            <w:pPr>
              <w:pStyle w:val="179"/>
            </w:pPr>
          </w:p>
        </w:tc>
        <w:tc>
          <w:tcPr>
            <w:tcW w:w="1134" w:type="dxa"/>
            <w:vAlign w:val="center"/>
          </w:tcPr>
          <w:p w14:paraId="2BB795AD">
            <w:pPr>
              <w:pStyle w:val="179"/>
            </w:pPr>
            <w:r>
              <w:rPr>
                <w:rFonts w:hint="eastAsia"/>
              </w:rPr>
              <w:t>组织管理机制</w:t>
            </w:r>
          </w:p>
        </w:tc>
        <w:tc>
          <w:tcPr>
            <w:tcW w:w="6812" w:type="dxa"/>
            <w:vAlign w:val="center"/>
          </w:tcPr>
          <w:p w14:paraId="575060F8">
            <w:pPr>
              <w:pStyle w:val="179"/>
              <w:adjustRightInd w:val="0"/>
              <w:snapToGrid w:val="0"/>
              <w:ind w:left="63" w:leftChars="30" w:right="63" w:rightChars="30"/>
              <w:jc w:val="both"/>
            </w:pPr>
            <w:r>
              <w:rPr>
                <w:rFonts w:hint="eastAsia"/>
              </w:rPr>
              <w:t>拥有较为完善的组织管理机制，包括成立管理高层例会制度、定期听取高价值专利培育工作报告、研究审议重大事项等。（4）</w:t>
            </w:r>
          </w:p>
        </w:tc>
      </w:tr>
      <w:tr w14:paraId="7E122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1134" w:type="dxa"/>
            <w:vMerge w:val="continue"/>
            <w:vAlign w:val="center"/>
          </w:tcPr>
          <w:p w14:paraId="02BD9CDE">
            <w:pPr>
              <w:pStyle w:val="179"/>
            </w:pPr>
          </w:p>
        </w:tc>
        <w:tc>
          <w:tcPr>
            <w:tcW w:w="1134" w:type="dxa"/>
            <w:vAlign w:val="center"/>
          </w:tcPr>
          <w:p w14:paraId="619D39AB">
            <w:pPr>
              <w:pStyle w:val="179"/>
            </w:pPr>
            <w:r>
              <w:rPr>
                <w:rFonts w:hint="eastAsia"/>
              </w:rPr>
              <w:t>利益分配机制</w:t>
            </w:r>
          </w:p>
        </w:tc>
        <w:tc>
          <w:tcPr>
            <w:tcW w:w="6812" w:type="dxa"/>
            <w:vAlign w:val="center"/>
          </w:tcPr>
          <w:p w14:paraId="625CC791">
            <w:pPr>
              <w:pStyle w:val="179"/>
              <w:adjustRightInd w:val="0"/>
              <w:snapToGrid w:val="0"/>
              <w:ind w:left="63" w:leftChars="30" w:right="63" w:rightChars="30"/>
              <w:jc w:val="both"/>
            </w:pPr>
            <w:r>
              <w:rPr>
                <w:rFonts w:hint="eastAsia"/>
              </w:rPr>
              <w:t>签订协同创新协议，明确专利权归属；（4）</w:t>
            </w:r>
          </w:p>
          <w:p w14:paraId="4497816B">
            <w:pPr>
              <w:pStyle w:val="179"/>
              <w:adjustRightInd w:val="0"/>
              <w:snapToGrid w:val="0"/>
              <w:ind w:left="63" w:leftChars="30" w:right="63" w:rightChars="30"/>
              <w:jc w:val="both"/>
            </w:pPr>
            <w:r>
              <w:rPr>
                <w:rFonts w:hint="eastAsia"/>
              </w:rPr>
              <w:t>议定专利转化后的收益分配比例；（4）</w:t>
            </w:r>
          </w:p>
          <w:p w14:paraId="40975C85">
            <w:pPr>
              <w:pStyle w:val="179"/>
              <w:adjustRightInd w:val="0"/>
              <w:snapToGrid w:val="0"/>
              <w:ind w:left="63" w:leftChars="30" w:right="63" w:rightChars="30"/>
              <w:jc w:val="both"/>
            </w:pPr>
            <w:r>
              <w:rPr>
                <w:rFonts w:hint="eastAsia"/>
              </w:rPr>
              <w:t>设置有明确的退出和追责条款；（4）</w:t>
            </w:r>
          </w:p>
        </w:tc>
      </w:tr>
      <w:tr w14:paraId="1DD5CF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2268" w:type="dxa"/>
            <w:gridSpan w:val="2"/>
            <w:vAlign w:val="center"/>
          </w:tcPr>
          <w:p w14:paraId="369CA31D">
            <w:pPr>
              <w:pStyle w:val="179"/>
            </w:pPr>
            <w:r>
              <w:rPr>
                <w:rFonts w:hint="eastAsia"/>
              </w:rPr>
              <w:t>一票否决</w:t>
            </w:r>
          </w:p>
        </w:tc>
        <w:tc>
          <w:tcPr>
            <w:tcW w:w="6812" w:type="dxa"/>
            <w:vAlign w:val="center"/>
          </w:tcPr>
          <w:p w14:paraId="7447497E">
            <w:pPr>
              <w:pStyle w:val="179"/>
              <w:snapToGrid w:val="0"/>
              <w:ind w:left="63" w:leftChars="30" w:right="63" w:rightChars="30"/>
              <w:jc w:val="both"/>
            </w:pPr>
            <w:r>
              <w:rPr>
                <w:rFonts w:hint="eastAsia"/>
              </w:rPr>
              <w:t>1. 参与高价值专利培育中心建设任意一方非正常专利申请量≥5件</w:t>
            </w:r>
          </w:p>
          <w:p w14:paraId="1D4C1F98">
            <w:pPr>
              <w:pStyle w:val="179"/>
              <w:snapToGrid w:val="0"/>
              <w:ind w:left="63" w:leftChars="30" w:right="63" w:rightChars="30"/>
              <w:jc w:val="both"/>
            </w:pPr>
            <w:r>
              <w:rPr>
                <w:rFonts w:hint="eastAsia"/>
              </w:rPr>
              <w:t>2. 知识产权服务机构代理非正常专利申请数量≥5件</w:t>
            </w:r>
          </w:p>
          <w:p w14:paraId="3828DDD6">
            <w:pPr>
              <w:pStyle w:val="179"/>
              <w:adjustRightInd w:val="0"/>
              <w:snapToGrid w:val="0"/>
              <w:ind w:left="63" w:leftChars="30" w:right="63" w:rightChars="30"/>
              <w:jc w:val="both"/>
            </w:pPr>
            <w:r>
              <w:rPr>
                <w:rFonts w:hint="eastAsia"/>
              </w:rPr>
              <w:t>3. 知识产权服务机代理非正常专利申请综合撤回率</w:t>
            </w:r>
            <w:r>
              <w:rPr>
                <w:rFonts w:hint="eastAsia" w:ascii="宋体" w:hAnsi="宋体"/>
              </w:rPr>
              <w:t>＜</w:t>
            </w:r>
            <w:r>
              <w:rPr>
                <w:rFonts w:hint="eastAsia"/>
              </w:rPr>
              <w:t>90%</w:t>
            </w:r>
          </w:p>
        </w:tc>
      </w:tr>
      <w:bookmarkEnd w:id="80"/>
    </w:tbl>
    <w:p w14:paraId="0CEDD16F">
      <w:pPr>
        <w:pStyle w:val="57"/>
        <w:ind w:firstLine="420"/>
      </w:pPr>
    </w:p>
    <w:bookmarkEnd w:id="79"/>
    <w:p w14:paraId="03DCC935">
      <w:pPr>
        <w:pStyle w:val="57"/>
        <w:ind w:firstLine="420"/>
        <w:sectPr>
          <w:pgSz w:w="11906" w:h="16838"/>
          <w:pgMar w:top="1928" w:right="1134" w:bottom="1134" w:left="1134" w:header="1418" w:footer="1134" w:gutter="284"/>
          <w:cols w:space="425" w:num="1"/>
          <w:formProt w:val="0"/>
          <w:docGrid w:linePitch="312" w:charSpace="0"/>
        </w:sectPr>
      </w:pPr>
      <w:bookmarkStart w:id="87" w:name="BookMark6"/>
    </w:p>
    <w:p w14:paraId="447B5F32">
      <w:pPr>
        <w:pStyle w:val="64"/>
        <w:spacing w:after="120"/>
      </w:pPr>
      <w:bookmarkStart w:id="88" w:name="_Toc225502893"/>
      <w:r>
        <w:rPr>
          <w:rFonts w:hint="eastAsia"/>
          <w:spacing w:val="105"/>
        </w:rPr>
        <w:t>参考文</w:t>
      </w:r>
      <w:r>
        <w:rPr>
          <w:rFonts w:hint="eastAsia"/>
        </w:rPr>
        <w:t>献</w:t>
      </w:r>
      <w:bookmarkEnd w:id="88"/>
    </w:p>
    <w:p w14:paraId="747C7F51">
      <w:pPr>
        <w:pStyle w:val="57"/>
        <w:ind w:firstLine="420"/>
      </w:pPr>
      <w:r>
        <w:rPr>
          <w:rFonts w:hint="eastAsia" w:ascii="宋体" w:hAnsi="宋体"/>
        </w:rPr>
        <w:t>［</w:t>
      </w:r>
      <w:r>
        <w:rPr>
          <w:rFonts w:hint="eastAsia"/>
        </w:rPr>
        <w:t>1</w:t>
      </w:r>
      <w:r>
        <w:rPr>
          <w:rFonts w:hint="eastAsia" w:ascii="宋体" w:hAnsi="宋体"/>
        </w:rPr>
        <w:t>］ 国家知识产权局</w:t>
      </w:r>
      <w:r>
        <w:rPr>
          <w:rFonts w:ascii="宋体" w:hAnsi="宋体"/>
        </w:rPr>
        <w:t>.</w:t>
      </w:r>
      <w:r>
        <w:rPr>
          <w:rFonts w:hint="eastAsia" w:ascii="宋体" w:hAnsi="宋体"/>
        </w:rPr>
        <w:t>《产业知识产权运营中心建设管理工作指引（暂行）》.（国知办函运字〔2024〕1155号）</w:t>
      </w:r>
    </w:p>
    <w:p w14:paraId="7DDE9BFD">
      <w:pPr>
        <w:pStyle w:val="57"/>
        <w:ind w:firstLine="420"/>
      </w:pPr>
      <w:r>
        <w:rPr>
          <w:rFonts w:hint="eastAsia" w:ascii="宋体" w:hAnsi="宋体"/>
        </w:rPr>
        <w:t>［</w:t>
      </w:r>
      <w:r>
        <w:rPr>
          <w:rFonts w:hint="eastAsia"/>
        </w:rPr>
        <w:t>2</w:t>
      </w:r>
      <w:r>
        <w:rPr>
          <w:rFonts w:hint="eastAsia" w:ascii="宋体" w:hAnsi="宋体"/>
        </w:rPr>
        <w:t>］河南省人民政府</w:t>
      </w:r>
      <w:r>
        <w:rPr>
          <w:rFonts w:ascii="宋体" w:hAnsi="宋体"/>
        </w:rPr>
        <w:t>.</w:t>
      </w:r>
      <w:r>
        <w:rPr>
          <w:rFonts w:hint="eastAsia"/>
        </w:rPr>
        <w:t>《</w:t>
      </w:r>
      <w:r>
        <w:rPr>
          <w:rFonts w:hint="eastAsia" w:ascii="宋体" w:hAnsi="宋体"/>
        </w:rPr>
        <w:t>河南省加快专利转化运用实施方案</w:t>
      </w:r>
      <w:r>
        <w:rPr>
          <w:rFonts w:hint="eastAsia"/>
        </w:rPr>
        <w:t>》.（豫政办〔2025〕70号）</w:t>
      </w:r>
    </w:p>
    <w:bookmarkEnd w:id="87"/>
    <w:p w14:paraId="106E5132">
      <w:pPr>
        <w:pStyle w:val="57"/>
        <w:ind w:firstLine="0" w:firstLineChars="0"/>
        <w:jc w:val="center"/>
      </w:pPr>
      <w:bookmarkStart w:id="89" w:name="BookMark8"/>
      <w:r>
        <w:drawing>
          <wp:inline distT="0" distB="0" distL="0" distR="0">
            <wp:extent cx="1485900" cy="317500"/>
            <wp:effectExtent l="0" t="0" r="0" b="6350"/>
            <wp:docPr id="665869202" name="图片 4"/>
            <wp:cNvGraphicFramePr/>
            <a:graphic xmlns:a="http://schemas.openxmlformats.org/drawingml/2006/main">
              <a:graphicData uri="http://schemas.openxmlformats.org/drawingml/2006/picture">
                <pic:pic xmlns:pic="http://schemas.openxmlformats.org/drawingml/2006/picture">
                  <pic:nvPicPr>
                    <pic:cNvPr id="665869202" name="图片 4"/>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9"/>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68CA5">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48B9C">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6E222">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B9965">
    <w:pPr>
      <w:pStyle w:val="53"/>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7106">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9C9C">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8540">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BC1E8">
    <w:pPr>
      <w:pStyle w:val="62"/>
    </w:pPr>
    <w:r>
      <w:fldChar w:fldCharType="begin"/>
    </w:r>
    <w:r>
      <w:instrText xml:space="preserve"> STYLEREF  标准文件_文件编号  \* MERGEFORMAT </w:instrText>
    </w:r>
    <w:r>
      <w:fldChar w:fldCharType="separate"/>
    </w:r>
    <w:r>
      <w:t>T/HAS      —XXXX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4FA50">
    <w:pPr>
      <w:pStyle w:val="18"/>
      <w:jc w:val="right"/>
    </w:pPr>
    <w:r>
      <w:fldChar w:fldCharType="begin"/>
    </w:r>
    <w:r>
      <w:instrText xml:space="preserve"> STYLEREF  标准文件_文件编号  \* MERGEFORMAT </w:instrText>
    </w:r>
    <w:r>
      <w:fldChar w:fldCharType="separate"/>
    </w:r>
    <w:r>
      <w:t>T/HAS      —XXXX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851"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NugzX63bzo6Dgk/soa00qm6tYh8epiDu8ZSv+Dj5AI+DHkjGzJQJDsm/tSOAspEtfdN7Aefy1a9/r6wD8ptfA==" w:salt="cnUzGs2j7RT+SA5Xm7lXN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5F"/>
    <w:rsid w:val="0000040A"/>
    <w:rsid w:val="00000A94"/>
    <w:rsid w:val="00001972"/>
    <w:rsid w:val="00001D9A"/>
    <w:rsid w:val="00002D44"/>
    <w:rsid w:val="00007B3A"/>
    <w:rsid w:val="000107E0"/>
    <w:rsid w:val="00011FDE"/>
    <w:rsid w:val="00012B8A"/>
    <w:rsid w:val="00012FFD"/>
    <w:rsid w:val="00014162"/>
    <w:rsid w:val="00014340"/>
    <w:rsid w:val="00016A9C"/>
    <w:rsid w:val="00022184"/>
    <w:rsid w:val="00022762"/>
    <w:rsid w:val="0002341E"/>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97E74"/>
    <w:rsid w:val="000A0B60"/>
    <w:rsid w:val="000A0EB8"/>
    <w:rsid w:val="000A19FC"/>
    <w:rsid w:val="000A296B"/>
    <w:rsid w:val="000A7311"/>
    <w:rsid w:val="000B060F"/>
    <w:rsid w:val="000B1592"/>
    <w:rsid w:val="000B1FF2"/>
    <w:rsid w:val="000B3CDA"/>
    <w:rsid w:val="000B6A0B"/>
    <w:rsid w:val="000C0DAC"/>
    <w:rsid w:val="000C0F6C"/>
    <w:rsid w:val="000C11DB"/>
    <w:rsid w:val="000C1492"/>
    <w:rsid w:val="000C2FBD"/>
    <w:rsid w:val="000C4B41"/>
    <w:rsid w:val="000C57D6"/>
    <w:rsid w:val="000C6362"/>
    <w:rsid w:val="000C7666"/>
    <w:rsid w:val="000D0A9C"/>
    <w:rsid w:val="000D0EB2"/>
    <w:rsid w:val="000D1795"/>
    <w:rsid w:val="000D329A"/>
    <w:rsid w:val="000D4B9C"/>
    <w:rsid w:val="000D4EB6"/>
    <w:rsid w:val="000D753B"/>
    <w:rsid w:val="000E287F"/>
    <w:rsid w:val="000E4C9E"/>
    <w:rsid w:val="000E6FD7"/>
    <w:rsid w:val="000E7144"/>
    <w:rsid w:val="000F06E1"/>
    <w:rsid w:val="000F0E3C"/>
    <w:rsid w:val="000F19D5"/>
    <w:rsid w:val="000F4050"/>
    <w:rsid w:val="000F4AEA"/>
    <w:rsid w:val="000F67E9"/>
    <w:rsid w:val="00101BF4"/>
    <w:rsid w:val="00104926"/>
    <w:rsid w:val="001055F6"/>
    <w:rsid w:val="0010715F"/>
    <w:rsid w:val="00113B1E"/>
    <w:rsid w:val="00116C62"/>
    <w:rsid w:val="0011711C"/>
    <w:rsid w:val="00117EC8"/>
    <w:rsid w:val="00124E4F"/>
    <w:rsid w:val="001260B7"/>
    <w:rsid w:val="001265CB"/>
    <w:rsid w:val="001321C6"/>
    <w:rsid w:val="001325C4"/>
    <w:rsid w:val="00133010"/>
    <w:rsid w:val="001338EE"/>
    <w:rsid w:val="00133AAE"/>
    <w:rsid w:val="00135323"/>
    <w:rsid w:val="001356C4"/>
    <w:rsid w:val="001370C1"/>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10F6"/>
    <w:rsid w:val="0017340B"/>
    <w:rsid w:val="00173FB1"/>
    <w:rsid w:val="00176DFD"/>
    <w:rsid w:val="001852C9"/>
    <w:rsid w:val="00187A0B"/>
    <w:rsid w:val="00187D46"/>
    <w:rsid w:val="00190087"/>
    <w:rsid w:val="001913C4"/>
    <w:rsid w:val="0019348F"/>
    <w:rsid w:val="00193A07"/>
    <w:rsid w:val="00194C95"/>
    <w:rsid w:val="00195C34"/>
    <w:rsid w:val="00196EF5"/>
    <w:rsid w:val="001A1A53"/>
    <w:rsid w:val="001A234A"/>
    <w:rsid w:val="001A2DD2"/>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75EB"/>
    <w:rsid w:val="001E1B6A"/>
    <w:rsid w:val="001E2484"/>
    <w:rsid w:val="001E3CC4"/>
    <w:rsid w:val="001E4882"/>
    <w:rsid w:val="001E73AB"/>
    <w:rsid w:val="001F092D"/>
    <w:rsid w:val="001F143A"/>
    <w:rsid w:val="001F1605"/>
    <w:rsid w:val="001F2508"/>
    <w:rsid w:val="001F34FB"/>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17CFF"/>
    <w:rsid w:val="002204BB"/>
    <w:rsid w:val="00221B79"/>
    <w:rsid w:val="00221C6B"/>
    <w:rsid w:val="002253A1"/>
    <w:rsid w:val="00225CF8"/>
    <w:rsid w:val="0022794E"/>
    <w:rsid w:val="00233D64"/>
    <w:rsid w:val="0023482A"/>
    <w:rsid w:val="002359CB"/>
    <w:rsid w:val="002416F4"/>
    <w:rsid w:val="00243540"/>
    <w:rsid w:val="0024497B"/>
    <w:rsid w:val="0024515B"/>
    <w:rsid w:val="00246021"/>
    <w:rsid w:val="0024666E"/>
    <w:rsid w:val="00247F52"/>
    <w:rsid w:val="00250B25"/>
    <w:rsid w:val="00250BBE"/>
    <w:rsid w:val="002515C2"/>
    <w:rsid w:val="0025194F"/>
    <w:rsid w:val="00256930"/>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2E9"/>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25F"/>
    <w:rsid w:val="002B4508"/>
    <w:rsid w:val="002B5779"/>
    <w:rsid w:val="002B7332"/>
    <w:rsid w:val="002B7F51"/>
    <w:rsid w:val="002C09E7"/>
    <w:rsid w:val="002C0A3F"/>
    <w:rsid w:val="002C1E06"/>
    <w:rsid w:val="002C3F07"/>
    <w:rsid w:val="002C5278"/>
    <w:rsid w:val="002C7EBB"/>
    <w:rsid w:val="002D06C1"/>
    <w:rsid w:val="002D42B5"/>
    <w:rsid w:val="002D4F1A"/>
    <w:rsid w:val="002D6EC6"/>
    <w:rsid w:val="002D79AC"/>
    <w:rsid w:val="002E039D"/>
    <w:rsid w:val="002E379A"/>
    <w:rsid w:val="002E4D5A"/>
    <w:rsid w:val="002E6326"/>
    <w:rsid w:val="002F30E0"/>
    <w:rsid w:val="002F35E4"/>
    <w:rsid w:val="002F3730"/>
    <w:rsid w:val="002F38E1"/>
    <w:rsid w:val="002F73B0"/>
    <w:rsid w:val="002F7AF6"/>
    <w:rsid w:val="00300E63"/>
    <w:rsid w:val="00302F5F"/>
    <w:rsid w:val="0030441D"/>
    <w:rsid w:val="00306063"/>
    <w:rsid w:val="0031000B"/>
    <w:rsid w:val="00313555"/>
    <w:rsid w:val="00313A24"/>
    <w:rsid w:val="00313B85"/>
    <w:rsid w:val="003167BB"/>
    <w:rsid w:val="00317988"/>
    <w:rsid w:val="003221B4"/>
    <w:rsid w:val="0032258D"/>
    <w:rsid w:val="00322E62"/>
    <w:rsid w:val="00324D13"/>
    <w:rsid w:val="00324EDD"/>
    <w:rsid w:val="003331E4"/>
    <w:rsid w:val="00336C64"/>
    <w:rsid w:val="00336F1C"/>
    <w:rsid w:val="00337162"/>
    <w:rsid w:val="0034194F"/>
    <w:rsid w:val="003444B4"/>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5FE4"/>
    <w:rsid w:val="00376713"/>
    <w:rsid w:val="00381815"/>
    <w:rsid w:val="003819AF"/>
    <w:rsid w:val="003820E9"/>
    <w:rsid w:val="00382DE7"/>
    <w:rsid w:val="00384FFC"/>
    <w:rsid w:val="003872FC"/>
    <w:rsid w:val="00387ADC"/>
    <w:rsid w:val="00390020"/>
    <w:rsid w:val="003903D6"/>
    <w:rsid w:val="00390EE6"/>
    <w:rsid w:val="0039118F"/>
    <w:rsid w:val="00392AD7"/>
    <w:rsid w:val="00392AF6"/>
    <w:rsid w:val="003938D9"/>
    <w:rsid w:val="003938EE"/>
    <w:rsid w:val="00394376"/>
    <w:rsid w:val="003943FF"/>
    <w:rsid w:val="003974EB"/>
    <w:rsid w:val="00397CC5"/>
    <w:rsid w:val="003A0B68"/>
    <w:rsid w:val="003A11D1"/>
    <w:rsid w:val="003A1582"/>
    <w:rsid w:val="003A3D9C"/>
    <w:rsid w:val="003A4077"/>
    <w:rsid w:val="003A4AA7"/>
    <w:rsid w:val="003A523E"/>
    <w:rsid w:val="003B09AD"/>
    <w:rsid w:val="003B1F18"/>
    <w:rsid w:val="003B5BF0"/>
    <w:rsid w:val="003B60BF"/>
    <w:rsid w:val="003B6BE3"/>
    <w:rsid w:val="003B6D0A"/>
    <w:rsid w:val="003C010C"/>
    <w:rsid w:val="003C0A6C"/>
    <w:rsid w:val="003C14F8"/>
    <w:rsid w:val="003C5A43"/>
    <w:rsid w:val="003D0519"/>
    <w:rsid w:val="003D0FF6"/>
    <w:rsid w:val="003D225D"/>
    <w:rsid w:val="003D262C"/>
    <w:rsid w:val="003D6D61"/>
    <w:rsid w:val="003E019F"/>
    <w:rsid w:val="003E091D"/>
    <w:rsid w:val="003E1C53"/>
    <w:rsid w:val="003E29BB"/>
    <w:rsid w:val="003E2A69"/>
    <w:rsid w:val="003E2D49"/>
    <w:rsid w:val="003E2FD4"/>
    <w:rsid w:val="003E49F6"/>
    <w:rsid w:val="003E660F"/>
    <w:rsid w:val="003F0841"/>
    <w:rsid w:val="003F1E47"/>
    <w:rsid w:val="003F23D3"/>
    <w:rsid w:val="003F2DC3"/>
    <w:rsid w:val="003F3F08"/>
    <w:rsid w:val="003F49F1"/>
    <w:rsid w:val="003F6272"/>
    <w:rsid w:val="00400E72"/>
    <w:rsid w:val="00401400"/>
    <w:rsid w:val="00403529"/>
    <w:rsid w:val="00404869"/>
    <w:rsid w:val="00405884"/>
    <w:rsid w:val="00407D39"/>
    <w:rsid w:val="0041106C"/>
    <w:rsid w:val="0041477A"/>
    <w:rsid w:val="004151B8"/>
    <w:rsid w:val="004167A3"/>
    <w:rsid w:val="00430E1C"/>
    <w:rsid w:val="00432DAA"/>
    <w:rsid w:val="00434305"/>
    <w:rsid w:val="0043433F"/>
    <w:rsid w:val="00435DF7"/>
    <w:rsid w:val="00435EF0"/>
    <w:rsid w:val="0043741A"/>
    <w:rsid w:val="0044083F"/>
    <w:rsid w:val="00441969"/>
    <w:rsid w:val="00441AE7"/>
    <w:rsid w:val="00445574"/>
    <w:rsid w:val="004467FB"/>
    <w:rsid w:val="00452D02"/>
    <w:rsid w:val="00452D6B"/>
    <w:rsid w:val="00454484"/>
    <w:rsid w:val="00455072"/>
    <w:rsid w:val="0045517B"/>
    <w:rsid w:val="00463B77"/>
    <w:rsid w:val="00463C7B"/>
    <w:rsid w:val="004644A6"/>
    <w:rsid w:val="004659BD"/>
    <w:rsid w:val="00470775"/>
    <w:rsid w:val="004746B1"/>
    <w:rsid w:val="0047583F"/>
    <w:rsid w:val="00475DE8"/>
    <w:rsid w:val="00481C44"/>
    <w:rsid w:val="00482021"/>
    <w:rsid w:val="00484936"/>
    <w:rsid w:val="00485C89"/>
    <w:rsid w:val="00486BE3"/>
    <w:rsid w:val="004905E4"/>
    <w:rsid w:val="00490A89"/>
    <w:rsid w:val="00490AB4"/>
    <w:rsid w:val="00492F02"/>
    <w:rsid w:val="004939AE"/>
    <w:rsid w:val="004A12DF"/>
    <w:rsid w:val="004A1BA8"/>
    <w:rsid w:val="004A24A7"/>
    <w:rsid w:val="004A4B57"/>
    <w:rsid w:val="004A63FA"/>
    <w:rsid w:val="004A6A3D"/>
    <w:rsid w:val="004B0272"/>
    <w:rsid w:val="004B2701"/>
    <w:rsid w:val="004B2E1B"/>
    <w:rsid w:val="004B3AA8"/>
    <w:rsid w:val="004B3E93"/>
    <w:rsid w:val="004B70F7"/>
    <w:rsid w:val="004C14CF"/>
    <w:rsid w:val="004C1FBC"/>
    <w:rsid w:val="004C25A2"/>
    <w:rsid w:val="004C3F1D"/>
    <w:rsid w:val="004C458D"/>
    <w:rsid w:val="004C7556"/>
    <w:rsid w:val="004C7E8B"/>
    <w:rsid w:val="004C7E9D"/>
    <w:rsid w:val="004C7F67"/>
    <w:rsid w:val="004D054D"/>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54DE"/>
    <w:rsid w:val="004F6456"/>
    <w:rsid w:val="004F696E"/>
    <w:rsid w:val="004F6C71"/>
    <w:rsid w:val="00501139"/>
    <w:rsid w:val="00502877"/>
    <w:rsid w:val="0050363E"/>
    <w:rsid w:val="005039BC"/>
    <w:rsid w:val="005043BB"/>
    <w:rsid w:val="00504A3D"/>
    <w:rsid w:val="00505767"/>
    <w:rsid w:val="005073F0"/>
    <w:rsid w:val="00510A7B"/>
    <w:rsid w:val="00512F6E"/>
    <w:rsid w:val="00513038"/>
    <w:rsid w:val="00514174"/>
    <w:rsid w:val="00516088"/>
    <w:rsid w:val="00516B0B"/>
    <w:rsid w:val="00521170"/>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40CA"/>
    <w:rsid w:val="00555044"/>
    <w:rsid w:val="0055774F"/>
    <w:rsid w:val="00561475"/>
    <w:rsid w:val="00562308"/>
    <w:rsid w:val="00563E8D"/>
    <w:rsid w:val="0056487B"/>
    <w:rsid w:val="00564DD6"/>
    <w:rsid w:val="00564FB9"/>
    <w:rsid w:val="00573D9E"/>
    <w:rsid w:val="005758AC"/>
    <w:rsid w:val="005801E3"/>
    <w:rsid w:val="00581802"/>
    <w:rsid w:val="00582A0C"/>
    <w:rsid w:val="005836A8"/>
    <w:rsid w:val="0058409C"/>
    <w:rsid w:val="00584262"/>
    <w:rsid w:val="00585B30"/>
    <w:rsid w:val="00586630"/>
    <w:rsid w:val="00587ADD"/>
    <w:rsid w:val="00593A49"/>
    <w:rsid w:val="00596160"/>
    <w:rsid w:val="005966E2"/>
    <w:rsid w:val="00597007"/>
    <w:rsid w:val="005A0966"/>
    <w:rsid w:val="005A11B7"/>
    <w:rsid w:val="005A249A"/>
    <w:rsid w:val="005A260B"/>
    <w:rsid w:val="005A4A1B"/>
    <w:rsid w:val="005A622D"/>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7A5"/>
    <w:rsid w:val="005E6812"/>
    <w:rsid w:val="005E7881"/>
    <w:rsid w:val="005E78E0"/>
    <w:rsid w:val="005F0D9C"/>
    <w:rsid w:val="005F284E"/>
    <w:rsid w:val="005F3E68"/>
    <w:rsid w:val="00600E91"/>
    <w:rsid w:val="006015CE"/>
    <w:rsid w:val="00604784"/>
    <w:rsid w:val="00606419"/>
    <w:rsid w:val="006074C1"/>
    <w:rsid w:val="00607D29"/>
    <w:rsid w:val="00612952"/>
    <w:rsid w:val="00614CC1"/>
    <w:rsid w:val="00615A9D"/>
    <w:rsid w:val="00617387"/>
    <w:rsid w:val="006205D6"/>
    <w:rsid w:val="0062519A"/>
    <w:rsid w:val="006252D8"/>
    <w:rsid w:val="006259BC"/>
    <w:rsid w:val="0062636B"/>
    <w:rsid w:val="00632182"/>
    <w:rsid w:val="00632AE0"/>
    <w:rsid w:val="00633C17"/>
    <w:rsid w:val="00634D9E"/>
    <w:rsid w:val="00636E3E"/>
    <w:rsid w:val="006379F7"/>
    <w:rsid w:val="00637E4D"/>
    <w:rsid w:val="006400E7"/>
    <w:rsid w:val="00640620"/>
    <w:rsid w:val="00641A1F"/>
    <w:rsid w:val="00645904"/>
    <w:rsid w:val="00647E67"/>
    <w:rsid w:val="00651ACB"/>
    <w:rsid w:val="00651C47"/>
    <w:rsid w:val="00652AB2"/>
    <w:rsid w:val="00653FED"/>
    <w:rsid w:val="00654EC0"/>
    <w:rsid w:val="0065525B"/>
    <w:rsid w:val="00655D4F"/>
    <w:rsid w:val="00656D29"/>
    <w:rsid w:val="006640E5"/>
    <w:rsid w:val="006646F1"/>
    <w:rsid w:val="00664929"/>
    <w:rsid w:val="00664F62"/>
    <w:rsid w:val="006655E1"/>
    <w:rsid w:val="006710BA"/>
    <w:rsid w:val="00672060"/>
    <w:rsid w:val="00672BFD"/>
    <w:rsid w:val="0067512A"/>
    <w:rsid w:val="006770F4"/>
    <w:rsid w:val="00677A84"/>
    <w:rsid w:val="0068026D"/>
    <w:rsid w:val="00680A27"/>
    <w:rsid w:val="006816A4"/>
    <w:rsid w:val="006819B8"/>
    <w:rsid w:val="006840A6"/>
    <w:rsid w:val="006850CD"/>
    <w:rsid w:val="00685AAB"/>
    <w:rsid w:val="006928A6"/>
    <w:rsid w:val="00693962"/>
    <w:rsid w:val="006A07AA"/>
    <w:rsid w:val="006A25E5"/>
    <w:rsid w:val="006A2B46"/>
    <w:rsid w:val="006A336D"/>
    <w:rsid w:val="006A37B9"/>
    <w:rsid w:val="006A3D27"/>
    <w:rsid w:val="006B2672"/>
    <w:rsid w:val="006B54BF"/>
    <w:rsid w:val="006B5F44"/>
    <w:rsid w:val="006B5F90"/>
    <w:rsid w:val="006B62E4"/>
    <w:rsid w:val="006B6A65"/>
    <w:rsid w:val="006C1BBA"/>
    <w:rsid w:val="006C2079"/>
    <w:rsid w:val="006C5A62"/>
    <w:rsid w:val="006C5D68"/>
    <w:rsid w:val="006C6976"/>
    <w:rsid w:val="006C6DD0"/>
    <w:rsid w:val="006D04EA"/>
    <w:rsid w:val="006D16C4"/>
    <w:rsid w:val="006D3E96"/>
    <w:rsid w:val="006D4515"/>
    <w:rsid w:val="006D4BB1"/>
    <w:rsid w:val="006D6593"/>
    <w:rsid w:val="006E28E0"/>
    <w:rsid w:val="006E64B2"/>
    <w:rsid w:val="006F03A8"/>
    <w:rsid w:val="006F2ACA"/>
    <w:rsid w:val="006F2ADC"/>
    <w:rsid w:val="006F2BFE"/>
    <w:rsid w:val="006F31E9"/>
    <w:rsid w:val="006F6284"/>
    <w:rsid w:val="006F6F98"/>
    <w:rsid w:val="007002C5"/>
    <w:rsid w:val="00704387"/>
    <w:rsid w:val="00707669"/>
    <w:rsid w:val="00711CBA"/>
    <w:rsid w:val="00711FB5"/>
    <w:rsid w:val="00712A01"/>
    <w:rsid w:val="00714F58"/>
    <w:rsid w:val="007161BD"/>
    <w:rsid w:val="00722FBF"/>
    <w:rsid w:val="00722FC2"/>
    <w:rsid w:val="00724E1B"/>
    <w:rsid w:val="00725949"/>
    <w:rsid w:val="00727FA2"/>
    <w:rsid w:val="007322D9"/>
    <w:rsid w:val="00732BC0"/>
    <w:rsid w:val="00733A5F"/>
    <w:rsid w:val="0073715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316E"/>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1C1"/>
    <w:rsid w:val="007B68EA"/>
    <w:rsid w:val="007B6EE9"/>
    <w:rsid w:val="007B7453"/>
    <w:rsid w:val="007C2D89"/>
    <w:rsid w:val="007C4593"/>
    <w:rsid w:val="007C4985"/>
    <w:rsid w:val="007C5309"/>
    <w:rsid w:val="007C6069"/>
    <w:rsid w:val="007D06C4"/>
    <w:rsid w:val="007D1352"/>
    <w:rsid w:val="007D2508"/>
    <w:rsid w:val="007D346A"/>
    <w:rsid w:val="007D6518"/>
    <w:rsid w:val="007D76BD"/>
    <w:rsid w:val="007E0BF1"/>
    <w:rsid w:val="007E3552"/>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4F3E"/>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75AD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4FE"/>
    <w:rsid w:val="008E1648"/>
    <w:rsid w:val="008E1B3E"/>
    <w:rsid w:val="008E2319"/>
    <w:rsid w:val="008E4BB6"/>
    <w:rsid w:val="008E5518"/>
    <w:rsid w:val="008E60A9"/>
    <w:rsid w:val="008E6A84"/>
    <w:rsid w:val="008E761C"/>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0165"/>
    <w:rsid w:val="00941A6C"/>
    <w:rsid w:val="009429D5"/>
    <w:rsid w:val="00942BF1"/>
    <w:rsid w:val="00945180"/>
    <w:rsid w:val="00945428"/>
    <w:rsid w:val="00945A81"/>
    <w:rsid w:val="0094607B"/>
    <w:rsid w:val="00947520"/>
    <w:rsid w:val="00952470"/>
    <w:rsid w:val="00953604"/>
    <w:rsid w:val="0095496B"/>
    <w:rsid w:val="0095609D"/>
    <w:rsid w:val="00960F1E"/>
    <w:rsid w:val="009610DC"/>
    <w:rsid w:val="00961490"/>
    <w:rsid w:val="0096381A"/>
    <w:rsid w:val="00965E04"/>
    <w:rsid w:val="009674AD"/>
    <w:rsid w:val="00970CDC"/>
    <w:rsid w:val="00975727"/>
    <w:rsid w:val="00977010"/>
    <w:rsid w:val="00977D02"/>
    <w:rsid w:val="00977FF9"/>
    <w:rsid w:val="009809BB"/>
    <w:rsid w:val="0098364B"/>
    <w:rsid w:val="009840B0"/>
    <w:rsid w:val="009908A3"/>
    <w:rsid w:val="009911AF"/>
    <w:rsid w:val="00991875"/>
    <w:rsid w:val="00991F92"/>
    <w:rsid w:val="00992985"/>
    <w:rsid w:val="00993889"/>
    <w:rsid w:val="0099551B"/>
    <w:rsid w:val="00996BD2"/>
    <w:rsid w:val="00997BF1"/>
    <w:rsid w:val="009A089C"/>
    <w:rsid w:val="009A118E"/>
    <w:rsid w:val="009A180D"/>
    <w:rsid w:val="009A21CD"/>
    <w:rsid w:val="009A278C"/>
    <w:rsid w:val="009A2BC2"/>
    <w:rsid w:val="009A42C1"/>
    <w:rsid w:val="009A5429"/>
    <w:rsid w:val="009A72AD"/>
    <w:rsid w:val="009B09E0"/>
    <w:rsid w:val="009B0BC5"/>
    <w:rsid w:val="009B1247"/>
    <w:rsid w:val="009B4A42"/>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37A5A"/>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67"/>
    <w:rsid w:val="00A862D6"/>
    <w:rsid w:val="00A8715E"/>
    <w:rsid w:val="00A90D8F"/>
    <w:rsid w:val="00A9295B"/>
    <w:rsid w:val="00A93B09"/>
    <w:rsid w:val="00A952D7"/>
    <w:rsid w:val="00A95B02"/>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C615E"/>
    <w:rsid w:val="00AD0AEF"/>
    <w:rsid w:val="00AD11B7"/>
    <w:rsid w:val="00AD1A94"/>
    <w:rsid w:val="00AD1C05"/>
    <w:rsid w:val="00AD4126"/>
    <w:rsid w:val="00AD421C"/>
    <w:rsid w:val="00AD44FA"/>
    <w:rsid w:val="00AE070A"/>
    <w:rsid w:val="00AE101C"/>
    <w:rsid w:val="00AE2A69"/>
    <w:rsid w:val="00AE37E5"/>
    <w:rsid w:val="00AE5EB4"/>
    <w:rsid w:val="00AF0C18"/>
    <w:rsid w:val="00AF18CF"/>
    <w:rsid w:val="00AF47C5"/>
    <w:rsid w:val="00AF5398"/>
    <w:rsid w:val="00B009CD"/>
    <w:rsid w:val="00B049AF"/>
    <w:rsid w:val="00B054B3"/>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179E"/>
    <w:rsid w:val="00B4346D"/>
    <w:rsid w:val="00B440F4"/>
    <w:rsid w:val="00B447A5"/>
    <w:rsid w:val="00B4654C"/>
    <w:rsid w:val="00B47293"/>
    <w:rsid w:val="00B50E50"/>
    <w:rsid w:val="00B52120"/>
    <w:rsid w:val="00B54ABC"/>
    <w:rsid w:val="00B55946"/>
    <w:rsid w:val="00B56FBE"/>
    <w:rsid w:val="00B60ACF"/>
    <w:rsid w:val="00B62B58"/>
    <w:rsid w:val="00B65149"/>
    <w:rsid w:val="00B66567"/>
    <w:rsid w:val="00B66F52"/>
    <w:rsid w:val="00B66FE5"/>
    <w:rsid w:val="00B70158"/>
    <w:rsid w:val="00B72880"/>
    <w:rsid w:val="00B758BF"/>
    <w:rsid w:val="00B75FE0"/>
    <w:rsid w:val="00B76980"/>
    <w:rsid w:val="00B77EC8"/>
    <w:rsid w:val="00B827A6"/>
    <w:rsid w:val="00B831CE"/>
    <w:rsid w:val="00B86677"/>
    <w:rsid w:val="00B87131"/>
    <w:rsid w:val="00B90372"/>
    <w:rsid w:val="00B939B1"/>
    <w:rsid w:val="00B955AC"/>
    <w:rsid w:val="00B96D40"/>
    <w:rsid w:val="00B97386"/>
    <w:rsid w:val="00BA263B"/>
    <w:rsid w:val="00BA42B2"/>
    <w:rsid w:val="00BA4638"/>
    <w:rsid w:val="00BA58D4"/>
    <w:rsid w:val="00BA5B9E"/>
    <w:rsid w:val="00BA7C9A"/>
    <w:rsid w:val="00BB1C1D"/>
    <w:rsid w:val="00BB5F8F"/>
    <w:rsid w:val="00BB6425"/>
    <w:rsid w:val="00BB657A"/>
    <w:rsid w:val="00BC1A4E"/>
    <w:rsid w:val="00BC5DC7"/>
    <w:rsid w:val="00BC6B8B"/>
    <w:rsid w:val="00BC73D8"/>
    <w:rsid w:val="00BD3319"/>
    <w:rsid w:val="00BD52D7"/>
    <w:rsid w:val="00BD5AD2"/>
    <w:rsid w:val="00BE22F3"/>
    <w:rsid w:val="00BE5B52"/>
    <w:rsid w:val="00BE7B8D"/>
    <w:rsid w:val="00BF0993"/>
    <w:rsid w:val="00BF10A9"/>
    <w:rsid w:val="00BF1703"/>
    <w:rsid w:val="00BF231C"/>
    <w:rsid w:val="00BF51E5"/>
    <w:rsid w:val="00BF74A6"/>
    <w:rsid w:val="00BF7830"/>
    <w:rsid w:val="00C013AD"/>
    <w:rsid w:val="00C016EC"/>
    <w:rsid w:val="00C04904"/>
    <w:rsid w:val="00C056B3"/>
    <w:rsid w:val="00C05E30"/>
    <w:rsid w:val="00C103E5"/>
    <w:rsid w:val="00C13319"/>
    <w:rsid w:val="00C13EE9"/>
    <w:rsid w:val="00C21540"/>
    <w:rsid w:val="00C21906"/>
    <w:rsid w:val="00C21BFA"/>
    <w:rsid w:val="00C227B9"/>
    <w:rsid w:val="00C24C8D"/>
    <w:rsid w:val="00C25FE2"/>
    <w:rsid w:val="00C26B53"/>
    <w:rsid w:val="00C279B2"/>
    <w:rsid w:val="00C32B16"/>
    <w:rsid w:val="00C33E50"/>
    <w:rsid w:val="00C34C20"/>
    <w:rsid w:val="00C35A3E"/>
    <w:rsid w:val="00C42130"/>
    <w:rsid w:val="00C423A4"/>
    <w:rsid w:val="00C423E3"/>
    <w:rsid w:val="00C432F4"/>
    <w:rsid w:val="00C448DC"/>
    <w:rsid w:val="00C44BF5"/>
    <w:rsid w:val="00C46283"/>
    <w:rsid w:val="00C4699D"/>
    <w:rsid w:val="00C521D6"/>
    <w:rsid w:val="00C55232"/>
    <w:rsid w:val="00C553A4"/>
    <w:rsid w:val="00C55A06"/>
    <w:rsid w:val="00C55D03"/>
    <w:rsid w:val="00C601BC"/>
    <w:rsid w:val="00C6329F"/>
    <w:rsid w:val="00C63340"/>
    <w:rsid w:val="00C643F9"/>
    <w:rsid w:val="00C64E95"/>
    <w:rsid w:val="00C71372"/>
    <w:rsid w:val="00C72410"/>
    <w:rsid w:val="00C7287F"/>
    <w:rsid w:val="00C74CFE"/>
    <w:rsid w:val="00C773B1"/>
    <w:rsid w:val="00C80CB8"/>
    <w:rsid w:val="00C819F8"/>
    <w:rsid w:val="00C8248C"/>
    <w:rsid w:val="00C8369A"/>
    <w:rsid w:val="00C84E33"/>
    <w:rsid w:val="00C86D6F"/>
    <w:rsid w:val="00C905FC"/>
    <w:rsid w:val="00C92200"/>
    <w:rsid w:val="00C9252E"/>
    <w:rsid w:val="00C92D03"/>
    <w:rsid w:val="00C9319C"/>
    <w:rsid w:val="00C9435D"/>
    <w:rsid w:val="00C94DF2"/>
    <w:rsid w:val="00C96741"/>
    <w:rsid w:val="00CA2D1B"/>
    <w:rsid w:val="00CA375D"/>
    <w:rsid w:val="00CA662A"/>
    <w:rsid w:val="00CA7AFD"/>
    <w:rsid w:val="00CA7C3C"/>
    <w:rsid w:val="00CB0189"/>
    <w:rsid w:val="00CB0BA2"/>
    <w:rsid w:val="00CB1145"/>
    <w:rsid w:val="00CB1A42"/>
    <w:rsid w:val="00CB1B0C"/>
    <w:rsid w:val="00CB2C0B"/>
    <w:rsid w:val="00CB517D"/>
    <w:rsid w:val="00CB63A6"/>
    <w:rsid w:val="00CC038D"/>
    <w:rsid w:val="00CC08DB"/>
    <w:rsid w:val="00CC3273"/>
    <w:rsid w:val="00CC35B5"/>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866"/>
    <w:rsid w:val="00CF048A"/>
    <w:rsid w:val="00CF155A"/>
    <w:rsid w:val="00CF2947"/>
    <w:rsid w:val="00CF686F"/>
    <w:rsid w:val="00CF6E60"/>
    <w:rsid w:val="00CF7BCA"/>
    <w:rsid w:val="00D008FD"/>
    <w:rsid w:val="00D020BC"/>
    <w:rsid w:val="00D02A65"/>
    <w:rsid w:val="00D0321C"/>
    <w:rsid w:val="00D035EC"/>
    <w:rsid w:val="00D06AB1"/>
    <w:rsid w:val="00D06FC1"/>
    <w:rsid w:val="00D072ED"/>
    <w:rsid w:val="00D07A16"/>
    <w:rsid w:val="00D1067E"/>
    <w:rsid w:val="00D10F50"/>
    <w:rsid w:val="00D11272"/>
    <w:rsid w:val="00D126F5"/>
    <w:rsid w:val="00D12827"/>
    <w:rsid w:val="00D1489E"/>
    <w:rsid w:val="00D20737"/>
    <w:rsid w:val="00D21E81"/>
    <w:rsid w:val="00D223DE"/>
    <w:rsid w:val="00D24C00"/>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5FB7"/>
    <w:rsid w:val="00D77031"/>
    <w:rsid w:val="00D84941"/>
    <w:rsid w:val="00D84FA1"/>
    <w:rsid w:val="00D851F0"/>
    <w:rsid w:val="00D85C5B"/>
    <w:rsid w:val="00D86099"/>
    <w:rsid w:val="00D86DB7"/>
    <w:rsid w:val="00D87BF5"/>
    <w:rsid w:val="00D87D19"/>
    <w:rsid w:val="00D90721"/>
    <w:rsid w:val="00D926D0"/>
    <w:rsid w:val="00D93030"/>
    <w:rsid w:val="00D950E1"/>
    <w:rsid w:val="00D952A6"/>
    <w:rsid w:val="00D97F99"/>
    <w:rsid w:val="00DA1E08"/>
    <w:rsid w:val="00DA24F8"/>
    <w:rsid w:val="00DA28E8"/>
    <w:rsid w:val="00DA38D3"/>
    <w:rsid w:val="00DA3932"/>
    <w:rsid w:val="00DA3AFC"/>
    <w:rsid w:val="00DA6213"/>
    <w:rsid w:val="00DA64F8"/>
    <w:rsid w:val="00DA6C15"/>
    <w:rsid w:val="00DA735B"/>
    <w:rsid w:val="00DB0258"/>
    <w:rsid w:val="00DB286E"/>
    <w:rsid w:val="00DB38EE"/>
    <w:rsid w:val="00DB498B"/>
    <w:rsid w:val="00DB6222"/>
    <w:rsid w:val="00DB66CA"/>
    <w:rsid w:val="00DB6BCA"/>
    <w:rsid w:val="00DB6F54"/>
    <w:rsid w:val="00DB73F7"/>
    <w:rsid w:val="00DC0321"/>
    <w:rsid w:val="00DC1220"/>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5044"/>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671B0"/>
    <w:rsid w:val="00E70388"/>
    <w:rsid w:val="00E70CF1"/>
    <w:rsid w:val="00E70F92"/>
    <w:rsid w:val="00E74313"/>
    <w:rsid w:val="00E74C54"/>
    <w:rsid w:val="00E77A03"/>
    <w:rsid w:val="00E822E8"/>
    <w:rsid w:val="00E82554"/>
    <w:rsid w:val="00E82606"/>
    <w:rsid w:val="00E831C1"/>
    <w:rsid w:val="00E83C23"/>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2D4"/>
    <w:rsid w:val="00EA681A"/>
    <w:rsid w:val="00EA735B"/>
    <w:rsid w:val="00EB1E69"/>
    <w:rsid w:val="00EB2086"/>
    <w:rsid w:val="00EB31ED"/>
    <w:rsid w:val="00EB5EDF"/>
    <w:rsid w:val="00EB60FE"/>
    <w:rsid w:val="00EB74DB"/>
    <w:rsid w:val="00EC5359"/>
    <w:rsid w:val="00EC562A"/>
    <w:rsid w:val="00ED067A"/>
    <w:rsid w:val="00ED2B50"/>
    <w:rsid w:val="00ED3349"/>
    <w:rsid w:val="00ED75C2"/>
    <w:rsid w:val="00ED7DBA"/>
    <w:rsid w:val="00EE0350"/>
    <w:rsid w:val="00EE0719"/>
    <w:rsid w:val="00EE0E80"/>
    <w:rsid w:val="00EE613F"/>
    <w:rsid w:val="00EE7295"/>
    <w:rsid w:val="00EE7869"/>
    <w:rsid w:val="00EF054A"/>
    <w:rsid w:val="00EF3235"/>
    <w:rsid w:val="00EF3E30"/>
    <w:rsid w:val="00EF7076"/>
    <w:rsid w:val="00EF7E72"/>
    <w:rsid w:val="00F06D37"/>
    <w:rsid w:val="00F07B9D"/>
    <w:rsid w:val="00F11586"/>
    <w:rsid w:val="00F1183B"/>
    <w:rsid w:val="00F11C9F"/>
    <w:rsid w:val="00F12263"/>
    <w:rsid w:val="00F1409D"/>
    <w:rsid w:val="00F14214"/>
    <w:rsid w:val="00F157A9"/>
    <w:rsid w:val="00F16F00"/>
    <w:rsid w:val="00F200F7"/>
    <w:rsid w:val="00F21410"/>
    <w:rsid w:val="00F24021"/>
    <w:rsid w:val="00F25BB6"/>
    <w:rsid w:val="00F26B7E"/>
    <w:rsid w:val="00F27A3B"/>
    <w:rsid w:val="00F32780"/>
    <w:rsid w:val="00F33817"/>
    <w:rsid w:val="00F37B93"/>
    <w:rsid w:val="00F41599"/>
    <w:rsid w:val="00F420D5"/>
    <w:rsid w:val="00F451EA"/>
    <w:rsid w:val="00F45447"/>
    <w:rsid w:val="00F456C6"/>
    <w:rsid w:val="00F4577B"/>
    <w:rsid w:val="00F46496"/>
    <w:rsid w:val="00F474D0"/>
    <w:rsid w:val="00F50179"/>
    <w:rsid w:val="00F515EE"/>
    <w:rsid w:val="00F55B37"/>
    <w:rsid w:val="00F56511"/>
    <w:rsid w:val="00F60326"/>
    <w:rsid w:val="00F6194E"/>
    <w:rsid w:val="00F623AC"/>
    <w:rsid w:val="00F6412A"/>
    <w:rsid w:val="00F65893"/>
    <w:rsid w:val="00F66A4A"/>
    <w:rsid w:val="00F71E22"/>
    <w:rsid w:val="00F72142"/>
    <w:rsid w:val="00F72AE7"/>
    <w:rsid w:val="00F80CD0"/>
    <w:rsid w:val="00F833BA"/>
    <w:rsid w:val="00F84FD0"/>
    <w:rsid w:val="00F859A8"/>
    <w:rsid w:val="00F86D87"/>
    <w:rsid w:val="00F9108B"/>
    <w:rsid w:val="00F91349"/>
    <w:rsid w:val="00F914B6"/>
    <w:rsid w:val="00F93A8A"/>
    <w:rsid w:val="00F95248"/>
    <w:rsid w:val="00F956A9"/>
    <w:rsid w:val="00F963ED"/>
    <w:rsid w:val="00F966CF"/>
    <w:rsid w:val="00F96CAE"/>
    <w:rsid w:val="00F97C99"/>
    <w:rsid w:val="00FA2803"/>
    <w:rsid w:val="00FA2B64"/>
    <w:rsid w:val="00FA662D"/>
    <w:rsid w:val="00FA73B1"/>
    <w:rsid w:val="00FB0CB9"/>
    <w:rsid w:val="00FB231D"/>
    <w:rsid w:val="00FB45F1"/>
    <w:rsid w:val="00FB4A72"/>
    <w:rsid w:val="00FB54E8"/>
    <w:rsid w:val="00FB611D"/>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9134FA0"/>
    <w:rsid w:val="1961712D"/>
    <w:rsid w:val="20932DA1"/>
    <w:rsid w:val="221E48CF"/>
    <w:rsid w:val="282A5766"/>
    <w:rsid w:val="2E96073F"/>
    <w:rsid w:val="34AC5582"/>
    <w:rsid w:val="405358B0"/>
    <w:rsid w:val="47A928A0"/>
    <w:rsid w:val="4CEA0599"/>
    <w:rsid w:val="52673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rPr>
      <w:sz w:val="24"/>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2"/>
    <w:qFormat/>
    <w:uiPriority w:val="0"/>
    <w:rPr>
      <w:b/>
      <w:bCs/>
      <w:kern w:val="44"/>
      <w:sz w:val="44"/>
      <w:szCs w:val="44"/>
    </w:rPr>
  </w:style>
  <w:style w:type="character" w:customStyle="1" w:styleId="36">
    <w:name w:val="标题 2 Char"/>
    <w:link w:val="3"/>
    <w:qFormat/>
    <w:uiPriority w:val="0"/>
    <w:rPr>
      <w:rFonts w:ascii="Arial" w:hAnsi="Arial" w:eastAsia="黑体"/>
      <w:b/>
      <w:bCs/>
      <w:kern w:val="2"/>
      <w:sz w:val="32"/>
      <w:szCs w:val="32"/>
    </w:rPr>
  </w:style>
  <w:style w:type="character" w:customStyle="1" w:styleId="37">
    <w:name w:val="标题 3 Char"/>
    <w:link w:val="4"/>
    <w:qFormat/>
    <w:uiPriority w:val="0"/>
    <w:rPr>
      <w:b/>
      <w:bCs/>
      <w:kern w:val="2"/>
      <w:sz w:val="32"/>
      <w:szCs w:val="32"/>
    </w:rPr>
  </w:style>
  <w:style w:type="character" w:customStyle="1" w:styleId="38">
    <w:name w:val="标题 4 Char"/>
    <w:link w:val="5"/>
    <w:qFormat/>
    <w:uiPriority w:val="0"/>
    <w:rPr>
      <w:rFonts w:ascii="Arial" w:hAnsi="Arial" w:eastAsia="黑体"/>
      <w:b/>
      <w:bCs/>
      <w:kern w:val="2"/>
      <w:sz w:val="28"/>
      <w:szCs w:val="28"/>
    </w:rPr>
  </w:style>
  <w:style w:type="character" w:customStyle="1" w:styleId="39">
    <w:name w:val="标题 5 Char"/>
    <w:link w:val="6"/>
    <w:qFormat/>
    <w:uiPriority w:val="0"/>
    <w:rPr>
      <w:b/>
      <w:bCs/>
      <w:kern w:val="2"/>
      <w:sz w:val="28"/>
      <w:szCs w:val="28"/>
    </w:rPr>
  </w:style>
  <w:style w:type="character" w:customStyle="1" w:styleId="40">
    <w:name w:val="标题 6 Char"/>
    <w:link w:val="7"/>
    <w:qFormat/>
    <w:uiPriority w:val="0"/>
    <w:rPr>
      <w:rFonts w:ascii="Arial" w:hAnsi="Arial" w:eastAsia="黑体"/>
      <w:b/>
      <w:bCs/>
      <w:kern w:val="2"/>
      <w:sz w:val="24"/>
      <w:szCs w:val="24"/>
    </w:rPr>
  </w:style>
  <w:style w:type="character" w:customStyle="1" w:styleId="41">
    <w:name w:val="标题 7 Char"/>
    <w:link w:val="8"/>
    <w:qFormat/>
    <w:uiPriority w:val="0"/>
    <w:rPr>
      <w:b/>
      <w:bCs/>
      <w:kern w:val="2"/>
      <w:sz w:val="24"/>
      <w:szCs w:val="24"/>
    </w:rPr>
  </w:style>
  <w:style w:type="character" w:customStyle="1" w:styleId="42">
    <w:name w:val="标题 8 Char"/>
    <w:link w:val="9"/>
    <w:qFormat/>
    <w:uiPriority w:val="0"/>
    <w:rPr>
      <w:rFonts w:ascii="Arial" w:hAnsi="Arial" w:eastAsia="黑体"/>
      <w:kern w:val="2"/>
      <w:sz w:val="24"/>
      <w:szCs w:val="24"/>
    </w:rPr>
  </w:style>
  <w:style w:type="character" w:customStyle="1" w:styleId="43">
    <w:name w:val="标题 9 Char"/>
    <w:link w:val="10"/>
    <w:qFormat/>
    <w:uiPriority w:val="0"/>
    <w:rPr>
      <w:rFonts w:ascii="Arial" w:hAnsi="Arial" w:eastAsia="黑体"/>
      <w:kern w:val="2"/>
      <w:sz w:val="21"/>
      <w:szCs w:val="21"/>
    </w:rPr>
  </w:style>
  <w:style w:type="character" w:customStyle="1" w:styleId="44">
    <w:name w:val="页眉 Char"/>
    <w:link w:val="18"/>
    <w:qFormat/>
    <w:uiPriority w:val="99"/>
    <w:rPr>
      <w:kern w:val="2"/>
      <w:sz w:val="18"/>
      <w:szCs w:val="18"/>
    </w:rPr>
  </w:style>
  <w:style w:type="character" w:customStyle="1" w:styleId="45">
    <w:name w:val="页脚 Char"/>
    <w:link w:val="17"/>
    <w:qFormat/>
    <w:uiPriority w:val="99"/>
    <w:rPr>
      <w:rFonts w:ascii="宋体"/>
      <w:kern w:val="2"/>
      <w:sz w:val="18"/>
      <w:szCs w:val="18"/>
    </w:rPr>
  </w:style>
  <w:style w:type="character" w:customStyle="1" w:styleId="46">
    <w:name w:val="批注框文本 Char"/>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qFormat/>
    <w:uiPriority w:val="29"/>
    <w:rPr>
      <w:i/>
      <w:iCs/>
      <w:color w:val="000000"/>
      <w:kern w:val="2"/>
      <w:sz w:val="21"/>
      <w:szCs w:val="21"/>
    </w:rPr>
  </w:style>
  <w:style w:type="character" w:customStyle="1" w:styleId="49">
    <w:name w:val="标题 Char"/>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3"/>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ind w:left="0"/>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autoRedefine/>
    <w:semiHidden/>
    <w:qFormat/>
    <w:uiPriority w:val="0"/>
    <w:pPr>
      <w:adjustRightInd/>
      <w:spacing w:line="240" w:lineRule="auto"/>
      <w:jc w:val="left"/>
    </w:pPr>
    <w:rPr>
      <w:bCs/>
      <w:iCs/>
    </w:rPr>
  </w:style>
  <w:style w:type="paragraph" w:customStyle="1" w:styleId="144">
    <w:name w:val="目录 31"/>
    <w:basedOn w:val="1"/>
    <w:next w:val="1"/>
    <w:autoRedefine/>
    <w:semiHidden/>
    <w:qFormat/>
    <w:uiPriority w:val="0"/>
    <w:pPr>
      <w:spacing w:line="240" w:lineRule="auto"/>
    </w:pPr>
    <w:rPr>
      <w:rFonts w:ascii="宋体" w:hAnsi="宋体"/>
      <w:iCs/>
    </w:rPr>
  </w:style>
  <w:style w:type="paragraph" w:customStyle="1" w:styleId="145">
    <w:name w:val="目录 41"/>
    <w:basedOn w:val="1"/>
    <w:next w:val="1"/>
    <w:autoRedefine/>
    <w:semiHidden/>
    <w:qFormat/>
    <w:uiPriority w:val="0"/>
    <w:pPr>
      <w:adjustRightInd/>
      <w:spacing w:line="240" w:lineRule="auto"/>
      <w:jc w:val="left"/>
    </w:pPr>
  </w:style>
  <w:style w:type="paragraph" w:customStyle="1" w:styleId="146">
    <w:name w:val="目录 51"/>
    <w:basedOn w:val="1"/>
    <w:next w:val="1"/>
    <w:autoRedefine/>
    <w:semiHidden/>
    <w:qFormat/>
    <w:uiPriority w:val="0"/>
    <w:pPr>
      <w:spacing w:line="240" w:lineRule="auto"/>
    </w:pPr>
    <w:rPr>
      <w:rFonts w:ascii="宋体" w:hAnsi="宋体"/>
    </w:rPr>
  </w:style>
  <w:style w:type="paragraph" w:customStyle="1" w:styleId="147">
    <w:name w:val="目录 61"/>
    <w:basedOn w:val="1"/>
    <w:next w:val="1"/>
    <w:autoRedefine/>
    <w:semiHidden/>
    <w:qFormat/>
    <w:uiPriority w:val="0"/>
    <w:pPr>
      <w:adjustRightInd/>
      <w:spacing w:line="240" w:lineRule="auto"/>
      <w:jc w:val="left"/>
    </w:pPr>
  </w:style>
  <w:style w:type="paragraph" w:customStyle="1" w:styleId="148">
    <w:name w:val="目录 71"/>
    <w:basedOn w:val="147"/>
    <w:autoRedefine/>
    <w:semiHidden/>
    <w:qFormat/>
    <w:uiPriority w:val="0"/>
    <w:pPr>
      <w:ind w:left="1260"/>
    </w:pPr>
  </w:style>
  <w:style w:type="paragraph" w:customStyle="1" w:styleId="149">
    <w:name w:val="目录 81"/>
    <w:basedOn w:val="148"/>
    <w:autoRedefine/>
    <w:semiHidden/>
    <w:qFormat/>
    <w:uiPriority w:val="0"/>
    <w:pPr>
      <w:ind w:left="1470"/>
    </w:pPr>
  </w:style>
  <w:style w:type="paragraph" w:customStyle="1" w:styleId="150">
    <w:name w:val="目录 91"/>
    <w:basedOn w:val="149"/>
    <w:autoRedefine/>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Times New Roman"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style>
  <w:style w:type="paragraph" w:customStyle="1" w:styleId="190">
    <w:name w:val="标准文件_一级项2"/>
    <w:basedOn w:val="57"/>
    <w:qFormat/>
    <w:uiPriority w:val="0"/>
    <w:pPr>
      <w:numPr>
        <w:ilvl w:val="0"/>
        <w:numId w:val="31"/>
      </w:numPr>
      <w:spacing w:line="300" w:lineRule="exact"/>
      <w:ind w:firstLineChars="0"/>
    </w:p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frame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Times New Roman"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4E952C58AD5450194303B1E8D70A7CA"/>
        <w:style w:val=""/>
        <w:category>
          <w:name w:val="常规"/>
          <w:gallery w:val="placeholder"/>
        </w:category>
        <w:types>
          <w:type w:val="bbPlcHdr"/>
        </w:types>
        <w:behaviors>
          <w:behavior w:val="content"/>
        </w:behaviors>
        <w:description w:val=""/>
        <w:guid w:val="{557CA3D2-E2B3-40F3-877E-7FDB860FD1A2}"/>
      </w:docPartPr>
      <w:docPartBody>
        <w:p w14:paraId="583F4CFA">
          <w:pPr>
            <w:pStyle w:val="5"/>
          </w:pPr>
          <w:r>
            <w:rPr>
              <w:rStyle w:val="4"/>
              <w:rFonts w:hint="eastAsia"/>
            </w:rPr>
            <w:t>单击或点击此处输入文字。</w:t>
          </w:r>
        </w:p>
      </w:docPartBody>
    </w:docPart>
    <w:docPart>
      <w:docPartPr>
        <w:name w:val="3122EC57D8BA42D6AEBA010A2729AC9B"/>
        <w:style w:val=""/>
        <w:category>
          <w:name w:val="常规"/>
          <w:gallery w:val="placeholder"/>
        </w:category>
        <w:types>
          <w:type w:val="bbPlcHdr"/>
        </w:types>
        <w:behaviors>
          <w:behavior w:val="content"/>
        </w:behaviors>
        <w:description w:val=""/>
        <w:guid w:val="{AF8BC63A-8099-4DF9-A4CA-AD6B4FDB4D73}"/>
      </w:docPartPr>
      <w:docPartBody>
        <w:p w14:paraId="7B5E12C8">
          <w:pPr>
            <w:pStyle w:val="6"/>
          </w:pPr>
          <w:r>
            <w:rPr>
              <w:rStyle w:val="4"/>
              <w:rFonts w:hint="eastAsia"/>
            </w:rPr>
            <w:t>选择一项。</w:t>
          </w:r>
        </w:p>
      </w:docPartBody>
    </w:docPart>
    <w:docPart>
      <w:docPartPr>
        <w:name w:val="7203C6227A344127AD7E3BFB000F6F0C"/>
        <w:style w:val=""/>
        <w:category>
          <w:name w:val="常规"/>
          <w:gallery w:val="placeholder"/>
        </w:category>
        <w:types>
          <w:type w:val="bbPlcHdr"/>
        </w:types>
        <w:behaviors>
          <w:behavior w:val="content"/>
        </w:behaviors>
        <w:description w:val=""/>
        <w:guid w:val="{2BABF298-A594-483F-828B-30E6B25CA66A}"/>
      </w:docPartPr>
      <w:docPartBody>
        <w:p w14:paraId="73CBE537">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FC"/>
    <w:rsid w:val="000258EC"/>
    <w:rsid w:val="000B7292"/>
    <w:rsid w:val="0010142D"/>
    <w:rsid w:val="0013749B"/>
    <w:rsid w:val="001532B9"/>
    <w:rsid w:val="00195D00"/>
    <w:rsid w:val="001D6406"/>
    <w:rsid w:val="00201D26"/>
    <w:rsid w:val="00240E6E"/>
    <w:rsid w:val="002A75D1"/>
    <w:rsid w:val="002B27FC"/>
    <w:rsid w:val="002E4FFF"/>
    <w:rsid w:val="003D225D"/>
    <w:rsid w:val="003F2DC3"/>
    <w:rsid w:val="00502877"/>
    <w:rsid w:val="005758AC"/>
    <w:rsid w:val="00576449"/>
    <w:rsid w:val="005F2873"/>
    <w:rsid w:val="006434B3"/>
    <w:rsid w:val="00647E67"/>
    <w:rsid w:val="006A4B06"/>
    <w:rsid w:val="006B6A65"/>
    <w:rsid w:val="006D5EF3"/>
    <w:rsid w:val="007161BD"/>
    <w:rsid w:val="00731EF2"/>
    <w:rsid w:val="00765B07"/>
    <w:rsid w:val="007B6EE9"/>
    <w:rsid w:val="008B5B84"/>
    <w:rsid w:val="008C5CA7"/>
    <w:rsid w:val="00945A81"/>
    <w:rsid w:val="009840B0"/>
    <w:rsid w:val="009E351E"/>
    <w:rsid w:val="00A17733"/>
    <w:rsid w:val="00A40A32"/>
    <w:rsid w:val="00A5242A"/>
    <w:rsid w:val="00AF18CF"/>
    <w:rsid w:val="00B70158"/>
    <w:rsid w:val="00BF4EF6"/>
    <w:rsid w:val="00C20588"/>
    <w:rsid w:val="00C25609"/>
    <w:rsid w:val="00C46283"/>
    <w:rsid w:val="00C66EFA"/>
    <w:rsid w:val="00C9252E"/>
    <w:rsid w:val="00CB63A6"/>
    <w:rsid w:val="00D020BC"/>
    <w:rsid w:val="00D45099"/>
    <w:rsid w:val="00EA5A5E"/>
    <w:rsid w:val="00EA5E2D"/>
    <w:rsid w:val="00F55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4E952C58AD5450194303B1E8D70A7C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3122EC57D8BA42D6AEBA010A2729AC9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7203C6227A344127AD7E3BFB000F6F0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CA439D-C8EF-4CEA-A4D2-FF5E45D132D9}">
  <ds:schemaRefs/>
</ds:datastoreItem>
</file>

<file path=docProps/app.xml><?xml version="1.0" encoding="utf-8"?>
<Properties xmlns="http://schemas.openxmlformats.org/officeDocument/2006/extended-properties" xmlns:vt="http://schemas.openxmlformats.org/officeDocument/2006/docPropsVTypes">
  <Template>团体标准</Template>
  <Company>HP</Company>
  <Pages>8</Pages>
  <Words>2847</Words>
  <Characters>3002</Characters>
  <Lines>34</Lines>
  <Paragraphs>9</Paragraphs>
  <TotalTime>66</TotalTime>
  <ScaleCrop>false</ScaleCrop>
  <LinksUpToDate>false</LinksUpToDate>
  <CharactersWithSpaces>3153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2026-03-18T01:24:00Z</dcterms:created>
  <dc:creator>此电脑</dc:creator>
  <cp:lastModifiedBy>张培英</cp:lastModifiedBy>
  <cp:lastPrinted>2021-02-02T08:22:00Z</cp:lastPrinted>
  <dcterms:modified xsi:type="dcterms:W3CDTF">2026-03-31T01:48:56Z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eyJoZGlkIjoiMzAzNmJkZDFlM2M0YjllYTRlMGM4MTZmMzgxNDBlMjgiLCJ1c2VySWQiOiI1NDQyNDk0NDUifQ==</vt:lpwstr>
  </property>
  <property fmtid="{D5CDD505-2E9C-101B-9397-08002B2CF9AE}" pid="15" name="KSOProductBuildVer">
    <vt:lpwstr>2052-12.1.0.25225</vt:lpwstr>
  </property>
  <property fmtid="{D5CDD505-2E9C-101B-9397-08002B2CF9AE}" pid="16" name="ICV">
    <vt:lpwstr>453C89CC495D4A65AFF800669E1A78F5_12</vt:lpwstr>
  </property>
</Properties>
</file>