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2AFE05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 w:line="240" w:lineRule="auto"/>
        <w:ind w:left="0" w:right="0"/>
        <w:jc w:val="both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"/>
        </w:rPr>
        <w:t>附件</w:t>
      </w:r>
    </w:p>
    <w:p w14:paraId="3B06035D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color w:val="000000"/>
          <w:kern w:val="2"/>
          <w:sz w:val="44"/>
          <w:szCs w:val="44"/>
          <w:lang w:val="en-US" w:eastAsia="zh-CN" w:bidi="ar"/>
        </w:rPr>
        <w:t>2026年度建筑工程质量</w:t>
      </w:r>
    </w:p>
    <w:p w14:paraId="1A21841E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color w:val="000000"/>
          <w:kern w:val="2"/>
          <w:sz w:val="44"/>
          <w:szCs w:val="44"/>
          <w:lang w:val="en-US" w:eastAsia="zh-CN" w:bidi="ar"/>
        </w:rPr>
        <w:t>“一业一查”部门联合检查要点</w:t>
      </w:r>
    </w:p>
    <w:p w14:paraId="153599DC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val="en-US"/>
        </w:rPr>
      </w:pPr>
    </w:p>
    <w:p w14:paraId="31C3A39A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 w:line="550" w:lineRule="exact"/>
        <w:ind w:left="0" w:right="0" w:firstLine="624" w:firstLineChars="200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"/>
        </w:rPr>
        <w:t>一、住房城乡建设部门检查要点</w:t>
      </w:r>
    </w:p>
    <w:p w14:paraId="71657E75">
      <w:pPr>
        <w:keepNext w:val="0"/>
        <w:keepLines w:val="0"/>
        <w:widowControl w:val="0"/>
        <w:suppressLineNumbers w:val="0"/>
        <w:suppressAutoHyphens/>
        <w:adjustRightInd w:val="0"/>
        <w:snapToGrid w:val="0"/>
        <w:spacing w:before="0" w:beforeAutospacing="0" w:after="0" w:afterAutospacing="0" w:line="550" w:lineRule="exact"/>
        <w:ind w:left="0" w:right="0" w:firstLine="624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1.主体结构施工质量。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重点检查主体结构分部工程、各子分部工程和分项工程验收是否规范、资料是否完整可追溯；重点抽查施工现场用于主体结构的材料（主要是钢筋、预拌混凝土、混凝土试块、砌筑材料等）进场验收和见证取样复检制度落实情况；混凝土工程中混凝土的实体质量、外观质量缺陷及尺寸偏差是否符合规范要求；核查钢结构构件、防火涂料、防腐涂料进场验收是否规范；重点检查焊接工艺、紧固件连接质量及涂料施工厚度、附着力等关键指标是否达标。</w:t>
      </w:r>
    </w:p>
    <w:p w14:paraId="5D43DB33">
      <w:pPr>
        <w:keepNext w:val="0"/>
        <w:keepLines w:val="0"/>
        <w:widowControl w:val="0"/>
        <w:suppressLineNumbers w:val="0"/>
        <w:suppressAutoHyphens/>
        <w:adjustRightInd w:val="0"/>
        <w:snapToGrid w:val="0"/>
        <w:spacing w:before="0" w:beforeAutospacing="0" w:after="0" w:afterAutospacing="0" w:line="550" w:lineRule="exact"/>
        <w:ind w:left="0" w:right="0" w:firstLine="624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2.“堵漏裂臭”等工程质量突出问题防治情况。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重点检查工程项目参建单位对于“堵漏裂臭”等工程质量突出问题的防治方案制定、技术交底及现场落实情况；检查防水、砌体、管线及门窗等涉及结构安全和使用功能的材料、构配件进场验收及见证取样复检制度执行情况；核查隔声、防串味、防水等实体性能检测开展情况、检测报告的真实性及完整性；检查分户验收制度落实情况等。其中，渗漏问题方面，重点检查屋面、卫生间、厨房、外墙及门窗等关键部位，防水材料质量、节点密封处理、管道穿楼板处的封堵、窗边、空调洞等部位的密封处理是否符合规范；开裂问题方面，重点检查混凝土结构构件、墙体是否存在裂缝；异味问题方面，重点排查卫生间、厨房通风排气系统是否通畅有效，排水管道安装是否规范，是否存在返味现象。</w:t>
      </w:r>
    </w:p>
    <w:p w14:paraId="2C80CEC8">
      <w:pPr>
        <w:keepNext w:val="0"/>
        <w:keepLines w:val="0"/>
        <w:widowControl w:val="0"/>
        <w:suppressLineNumbers w:val="0"/>
        <w:suppressAutoHyphens/>
        <w:adjustRightInd w:val="0"/>
        <w:snapToGrid w:val="0"/>
        <w:spacing w:before="0" w:beforeAutospacing="0" w:after="0" w:afterAutospacing="0" w:line="550" w:lineRule="exact"/>
        <w:ind w:left="0" w:right="0" w:firstLine="624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3.建筑保温工程施工过程质量控制情况。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重点检查《建筑外墙外保温工程施工全流程质量安全管控工作指引》（豫建质安〔2025〕207号）文件的落实情况；核查保温材料进场验收、见证取样送检制度落实情况；重点检查保温材料的燃烧性能、导热系数、抗拉强度等关键指标，同时检查材料存储过程中的防潮、防水、防火措施执行情况；检查技术交底、专项施工方案编制及审批、样板引路制度的落实情况；核查基层处理、隐蔽工程验收等工序交接流程，以及自检、质量员检查、工序交接检查的闭环管控制度落实情况；检查建设、施工、监理、设计等参建各方主体法定质量责任履行情况。</w:t>
      </w:r>
    </w:p>
    <w:p w14:paraId="1F08AC7E">
      <w:pPr>
        <w:keepNext w:val="0"/>
        <w:keepLines w:val="0"/>
        <w:widowControl w:val="0"/>
        <w:suppressLineNumbers w:val="0"/>
        <w:suppressAutoHyphens/>
        <w:adjustRightInd w:val="0"/>
        <w:snapToGrid w:val="0"/>
        <w:spacing w:before="0" w:beforeAutospacing="0" w:after="0" w:afterAutospacing="0" w:line="550" w:lineRule="exact"/>
        <w:ind w:left="0" w:right="0" w:firstLine="624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4.住宅装饰装修质量控制情况。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重点检查在建项目装饰装修工程是否依法办理施工许可手续；装修材料、构配件及设备进场验收和复检制度执行情况；住宅卫生间等涉水部位的防水工程质量，蓄水、淋水试验情况；砌筑抹灰、饰面砖铺贴、地坪施工、地暖铺设、精装地板安装及门窗安装等施工质量控制情况；隔声、防串味、防水等实体性能检测开展情况；分户验收制度落实情况等。</w:t>
      </w:r>
    </w:p>
    <w:p w14:paraId="171E914D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 w:line="550" w:lineRule="exact"/>
        <w:ind w:left="0" w:right="0" w:firstLine="624" w:firstLineChars="200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"/>
        </w:rPr>
        <w:t>二、人防部门检查要点</w:t>
      </w:r>
    </w:p>
    <w:p w14:paraId="6C737E8B">
      <w:pPr>
        <w:keepNext w:val="0"/>
        <w:keepLines w:val="0"/>
        <w:widowControl w:val="0"/>
        <w:suppressLineNumbers w:val="0"/>
        <w:suppressAutoHyphens/>
        <w:adjustRightInd w:val="0"/>
        <w:snapToGrid w:val="0"/>
        <w:spacing w:before="0" w:beforeAutospacing="0" w:after="0" w:afterAutospacing="0" w:line="550" w:lineRule="exact"/>
        <w:ind w:left="0" w:right="0" w:firstLine="624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1.建设单位。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主要检查人防报建手续是否齐全；项目机构、质量安全管理制度是否齐全；施工图审查、质监申报、图纸会审、设计交底是否符合规定。</w:t>
      </w:r>
    </w:p>
    <w:p w14:paraId="1E70DABF">
      <w:pPr>
        <w:keepNext w:val="0"/>
        <w:keepLines w:val="0"/>
        <w:widowControl w:val="0"/>
        <w:suppressLineNumbers w:val="0"/>
        <w:suppressAutoHyphens/>
        <w:adjustRightInd w:val="0"/>
        <w:snapToGrid w:val="0"/>
        <w:spacing w:before="0" w:beforeAutospacing="0" w:after="0" w:afterAutospacing="0" w:line="550" w:lineRule="exact"/>
        <w:ind w:left="0" w:right="0" w:firstLine="624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2.设计单位。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主要检查人防工程设计单位资质是否符合相关要求；工程设计是否执行相关法律、法规和工程建设强制性标准，在工程建设过程中是否履行约定服务。</w:t>
      </w:r>
    </w:p>
    <w:p w14:paraId="61E71E23">
      <w:pPr>
        <w:keepNext w:val="0"/>
        <w:keepLines w:val="0"/>
        <w:widowControl w:val="0"/>
        <w:suppressLineNumbers w:val="0"/>
        <w:suppressAutoHyphens/>
        <w:spacing w:before="0" w:beforeAutospacing="0" w:after="0" w:afterAutospacing="0" w:line="600" w:lineRule="exact"/>
        <w:ind w:left="0" w:right="0" w:firstLine="624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3.施工图审查单位。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主要检查是否按规定承揽业务，是否执行《人防工程施工图设计文件审查技术规程》等规定。</w:t>
      </w:r>
    </w:p>
    <w:p w14:paraId="36E54755">
      <w:pPr>
        <w:keepNext w:val="0"/>
        <w:keepLines w:val="0"/>
        <w:widowControl w:val="0"/>
        <w:suppressLineNumbers w:val="0"/>
        <w:suppressAutoHyphens/>
        <w:adjustRightInd w:val="0"/>
        <w:snapToGrid w:val="0"/>
        <w:spacing w:before="0" w:beforeAutospacing="0" w:after="0" w:afterAutospacing="0" w:line="550" w:lineRule="exact"/>
        <w:ind w:left="0" w:right="0" w:firstLine="624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4.施工单位。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主要检查人员任命、岗位证书、质保体系是否健全；施工组织设计、专项方案审批、专家论证、验收记录是否规范；技术交底、隐蔽验收、施工日志、资料台账是否完整、规范。</w:t>
      </w:r>
    </w:p>
    <w:p w14:paraId="6A387995">
      <w:pPr>
        <w:keepNext w:val="0"/>
        <w:keepLines w:val="0"/>
        <w:widowControl w:val="0"/>
        <w:suppressLineNumbers w:val="0"/>
        <w:suppressAutoHyphens/>
        <w:adjustRightInd w:val="0"/>
        <w:snapToGrid w:val="0"/>
        <w:spacing w:before="0" w:beforeAutospacing="0" w:after="0" w:afterAutospacing="0" w:line="550" w:lineRule="exact"/>
        <w:ind w:left="0" w:right="0" w:firstLine="624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5.监理单位。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主要检查企业资质，监理机构、人员任命、资格证书、人防图集标准是否齐全；监理规划、各专业监理细则资料是否齐全；旁站方案、旁站记录、技术交底是否符合要求；监理日志、资料台账是否规范。</w:t>
      </w:r>
    </w:p>
    <w:p w14:paraId="3C30268B">
      <w:pPr>
        <w:keepNext w:val="0"/>
        <w:keepLines w:val="0"/>
        <w:widowControl w:val="0"/>
        <w:suppressLineNumbers w:val="0"/>
        <w:suppressAutoHyphens/>
        <w:adjustRightInd w:val="0"/>
        <w:snapToGrid w:val="0"/>
        <w:spacing w:before="0" w:beforeAutospacing="0" w:after="0" w:afterAutospacing="0" w:line="550" w:lineRule="exact"/>
        <w:ind w:left="0" w:right="0" w:firstLine="624" w:firstLineChars="200"/>
        <w:jc w:val="both"/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6.防护专项</w:t>
      </w:r>
    </w:p>
    <w:p w14:paraId="57AF490F">
      <w:pPr>
        <w:keepNext w:val="0"/>
        <w:keepLines w:val="0"/>
        <w:widowControl w:val="0"/>
        <w:suppressLineNumbers w:val="0"/>
        <w:suppressAutoHyphens/>
        <w:adjustRightInd w:val="0"/>
        <w:snapToGrid w:val="0"/>
        <w:spacing w:before="0" w:beforeAutospacing="0" w:after="0" w:afterAutospacing="0" w:line="550" w:lineRule="exact"/>
        <w:ind w:left="0" w:right="0" w:firstLine="624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（1）土建方面。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外墙、临空墙、门框墙、防护密闭隔墙和密闭隔墙的模板安装，其固定模板的对拉螺栓上严禁采用PVC套管、混凝土预制件等；钢筋的规格、尺寸、位置符合设计、规范要求；吊钩设置符合规定；口部混凝土强度等级、取样、试件留置、门框墙截面尺寸符合规定；防护密闭门门头加强梁符合规定；门框墙周边宽度应满足门扇安装和启闭要求；当管道穿过工程外墙（板）、临空墙、防护密闭隔墙、密闭隔墙时，应预埋带有密闭翼环的密闭穿墙管（短管或套管），并符合相关规定。</w:t>
      </w:r>
    </w:p>
    <w:p w14:paraId="580768E5">
      <w:pPr>
        <w:keepNext w:val="0"/>
        <w:keepLines w:val="0"/>
        <w:widowControl w:val="0"/>
        <w:suppressLineNumbers w:val="0"/>
        <w:suppressAutoHyphens/>
        <w:adjustRightInd w:val="0"/>
        <w:snapToGrid w:val="0"/>
        <w:spacing w:before="0" w:beforeAutospacing="0" w:after="0" w:afterAutospacing="0" w:line="550" w:lineRule="exact"/>
        <w:ind w:left="0" w:right="0" w:firstLine="624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（2）给排水方面。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给水管道上防护阀门的设置及安装、防爆地漏的安装应符合规定。</w:t>
      </w:r>
    </w:p>
    <w:p w14:paraId="2ACEC380">
      <w:pPr>
        <w:keepNext w:val="0"/>
        <w:keepLines w:val="0"/>
        <w:widowControl w:val="0"/>
        <w:suppressLineNumbers w:val="0"/>
        <w:suppressAutoHyphens/>
        <w:adjustRightInd w:val="0"/>
        <w:snapToGrid w:val="0"/>
        <w:spacing w:before="0" w:beforeAutospacing="0" w:after="0" w:afterAutospacing="0" w:line="550" w:lineRule="exact"/>
        <w:ind w:left="0" w:right="0" w:firstLine="624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（3）通风方面。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各种设备的型号、规格、额定风量必须符合设计要求；油网滤尘器、过滤吸收器的安装应符合规定。</w:t>
      </w:r>
    </w:p>
    <w:p w14:paraId="62C1B532">
      <w:pPr>
        <w:keepNext w:val="0"/>
        <w:keepLines w:val="0"/>
        <w:widowControl w:val="0"/>
        <w:suppressLineNumbers w:val="0"/>
        <w:suppressAutoHyphens/>
        <w:adjustRightInd w:val="0"/>
        <w:snapToGrid w:val="0"/>
        <w:spacing w:before="0" w:beforeAutospacing="0" w:after="0" w:afterAutospacing="0" w:line="550" w:lineRule="exact"/>
        <w:ind w:left="0" w:right="0" w:firstLine="624" w:firstLineChars="20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（4）电气方面。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防护密闭门门框墙、密闭门门框墙、滤毒室密闭门门框墙预埋备用管数量、规格符合规定；防爆波电缆井施工应符合规定。</w:t>
      </w:r>
    </w:p>
    <w:p w14:paraId="208AC38D">
      <w:pPr>
        <w:keepNext w:val="0"/>
        <w:keepLines w:val="0"/>
        <w:widowControl w:val="0"/>
        <w:suppressLineNumbers w:val="0"/>
        <w:suppressAutoHyphens/>
        <w:adjustRightInd w:val="0"/>
        <w:snapToGrid w:val="0"/>
        <w:spacing w:before="0" w:beforeAutospacing="0" w:after="0" w:afterAutospacing="0" w:line="550" w:lineRule="exact"/>
        <w:ind w:left="0" w:right="0" w:firstLine="624" w:firstLineChars="200"/>
        <w:jc w:val="both"/>
        <w:rPr>
          <w:rFonts w:hint="default" w:ascii="Times New Roman"/>
          <w:color w:val="auto"/>
          <w:sz w:val="44"/>
          <w:szCs w:val="44"/>
          <w:u w:val="single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2"/>
          <w:sz w:val="32"/>
          <w:szCs w:val="32"/>
          <w:lang w:val="en-US" w:eastAsia="zh-CN" w:bidi="ar"/>
        </w:rPr>
        <w:t>（5）防护设备方面。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"/>
        </w:rPr>
        <w:t>防护设备生产企业具备相关资质，设备进场验收记录，产品质量检测及安装检测符合要求；自动排气活门、防爆超压排气活门安装质量符合要求。</w:t>
      </w:r>
    </w:p>
    <w:sectPr>
      <w:headerReference r:id="rId3" w:type="default"/>
      <w:footerReference r:id="rId4" w:type="default"/>
      <w:pgSz w:w="11906" w:h="16838"/>
      <w:pgMar w:top="2098" w:right="1587" w:bottom="2098" w:left="1587" w:header="851" w:footer="1701" w:gutter="0"/>
      <w:cols w:space="720" w:num="1"/>
      <w:rtlGutter w:val="0"/>
      <w:docGrid w:type="linesAndChars" w:linePitch="582" w:charSpace="-16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DejaVu Math TeX Gyre"/>
    <w:panose1 w:val="02010600030101010101"/>
    <w:charset w:val="00"/>
    <w:family w:val="auto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B029D3"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B1098C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HorizontalSpacing w:val="156"/>
  <w:drawingGridVerticalSpacing w:val="291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hYWRlMmNkZDkzNzdmZGI0NGU4ODdhMTdlYjVmYzcifQ=="/>
  </w:docVars>
  <w:rsids>
    <w:rsidRoot w:val="47D54FAC"/>
    <w:rsid w:val="000F4BD6"/>
    <w:rsid w:val="00251722"/>
    <w:rsid w:val="002D3E0E"/>
    <w:rsid w:val="00461D4D"/>
    <w:rsid w:val="004D332D"/>
    <w:rsid w:val="004D5EB1"/>
    <w:rsid w:val="005F10F4"/>
    <w:rsid w:val="006F6545"/>
    <w:rsid w:val="008C3ED0"/>
    <w:rsid w:val="00906E41"/>
    <w:rsid w:val="00C311CD"/>
    <w:rsid w:val="00C866F4"/>
    <w:rsid w:val="00D949AD"/>
    <w:rsid w:val="04FF1E60"/>
    <w:rsid w:val="16364A57"/>
    <w:rsid w:val="17206B6C"/>
    <w:rsid w:val="199A23B0"/>
    <w:rsid w:val="1D0D56C2"/>
    <w:rsid w:val="1DB55B95"/>
    <w:rsid w:val="1FF36949"/>
    <w:rsid w:val="22B20173"/>
    <w:rsid w:val="2E1F412E"/>
    <w:rsid w:val="2FF02D27"/>
    <w:rsid w:val="306678E3"/>
    <w:rsid w:val="309D08C8"/>
    <w:rsid w:val="326F08EC"/>
    <w:rsid w:val="327D9EC6"/>
    <w:rsid w:val="374962C5"/>
    <w:rsid w:val="394E7F1F"/>
    <w:rsid w:val="3C060596"/>
    <w:rsid w:val="3C964B49"/>
    <w:rsid w:val="3DC33DF0"/>
    <w:rsid w:val="3E134634"/>
    <w:rsid w:val="40C41559"/>
    <w:rsid w:val="41214BFD"/>
    <w:rsid w:val="436F7EA2"/>
    <w:rsid w:val="477C68EF"/>
    <w:rsid w:val="47D54FAC"/>
    <w:rsid w:val="4BCF3BD3"/>
    <w:rsid w:val="4C3E6663"/>
    <w:rsid w:val="50B447A7"/>
    <w:rsid w:val="5100038B"/>
    <w:rsid w:val="514120CA"/>
    <w:rsid w:val="52CA29FF"/>
    <w:rsid w:val="53416F98"/>
    <w:rsid w:val="55071852"/>
    <w:rsid w:val="558A46C7"/>
    <w:rsid w:val="56A33C92"/>
    <w:rsid w:val="56C137C7"/>
    <w:rsid w:val="59CB2E2B"/>
    <w:rsid w:val="59D42107"/>
    <w:rsid w:val="5D5BC8C4"/>
    <w:rsid w:val="5E3763E1"/>
    <w:rsid w:val="5EC952AA"/>
    <w:rsid w:val="5EFEABA8"/>
    <w:rsid w:val="5FAFCDE8"/>
    <w:rsid w:val="5FEBBCDB"/>
    <w:rsid w:val="60866B99"/>
    <w:rsid w:val="61BC3E5A"/>
    <w:rsid w:val="62DF6284"/>
    <w:rsid w:val="657809E0"/>
    <w:rsid w:val="665054B9"/>
    <w:rsid w:val="6AF705F9"/>
    <w:rsid w:val="6B627914"/>
    <w:rsid w:val="6F7B9D35"/>
    <w:rsid w:val="6FFE2B79"/>
    <w:rsid w:val="707D6EAA"/>
    <w:rsid w:val="72231CD3"/>
    <w:rsid w:val="75DD7389"/>
    <w:rsid w:val="76AF6214"/>
    <w:rsid w:val="77180CFB"/>
    <w:rsid w:val="774E77F3"/>
    <w:rsid w:val="777F9EE8"/>
    <w:rsid w:val="77C6528F"/>
    <w:rsid w:val="77FFC7DF"/>
    <w:rsid w:val="7A2D7B93"/>
    <w:rsid w:val="7CAA7279"/>
    <w:rsid w:val="7F77685F"/>
    <w:rsid w:val="7FF6E66D"/>
    <w:rsid w:val="B1FF8AE4"/>
    <w:rsid w:val="B5AEAC3C"/>
    <w:rsid w:val="CDFA6795"/>
    <w:rsid w:val="DCF31018"/>
    <w:rsid w:val="DE56E181"/>
    <w:rsid w:val="DF2BC987"/>
    <w:rsid w:val="E77F8240"/>
    <w:rsid w:val="F6E999E1"/>
    <w:rsid w:val="F7795956"/>
    <w:rsid w:val="F936BDE5"/>
    <w:rsid w:val="FB7D673E"/>
    <w:rsid w:val="FBBE38AB"/>
    <w:rsid w:val="FEFF1F74"/>
    <w:rsid w:val="FFFB43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99"/>
    <w:rPr>
      <w:rFonts w:ascii="Calibri" w:hAnsi="Calibri"/>
    </w:rPr>
  </w:style>
  <w:style w:type="paragraph" w:styleId="4">
    <w:name w:val="Body Text Indent"/>
    <w:basedOn w:val="1"/>
    <w:next w:val="5"/>
    <w:qFormat/>
    <w:uiPriority w:val="99"/>
    <w:pPr>
      <w:spacing w:after="120"/>
      <w:ind w:left="420"/>
    </w:pPr>
  </w:style>
  <w:style w:type="paragraph" w:styleId="5">
    <w:name w:val="Body Text First Indent 2"/>
    <w:basedOn w:val="4"/>
    <w:next w:val="1"/>
    <w:qFormat/>
    <w:uiPriority w:val="99"/>
    <w:pPr>
      <w:ind w:left="0" w:firstLine="40"/>
    </w:pPr>
    <w:rPr>
      <w:rFonts w:ascii="仿宋_GB2312" w:hAnsi="仿宋_GB2312" w:eastAsia="仿宋" w:cs="仿宋_GB2312"/>
      <w:sz w:val="32"/>
      <w:szCs w:val="32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basedOn w:val="1"/>
    <w:unhideWhenUsed/>
    <w:qFormat/>
    <w:uiPriority w:val="99"/>
    <w:pPr>
      <w:spacing w:after="120" w:line="480" w:lineRule="auto"/>
    </w:pPr>
  </w:style>
  <w:style w:type="paragraph" w:styleId="9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12">
    <w:name w:val="page number"/>
    <w:basedOn w:val="11"/>
    <w:qFormat/>
    <w:uiPriority w:val="0"/>
    <w:rPr>
      <w:lang w:eastAsia="en-US"/>
    </w:rPr>
  </w:style>
  <w:style w:type="character" w:styleId="13">
    <w:name w:val="Hyperlink"/>
    <w:basedOn w:val="11"/>
    <w:uiPriority w:val="0"/>
    <w:rPr>
      <w:color w:val="0000FF"/>
      <w:u w:val="single"/>
    </w:rPr>
  </w:style>
  <w:style w:type="paragraph" w:customStyle="1" w:styleId="14">
    <w:name w:val="No Spacing1"/>
    <w:qFormat/>
    <w:uiPriority w:val="0"/>
    <w:pPr>
      <w:widowControl w:val="0"/>
    </w:pPr>
    <w:rPr>
      <w:rFonts w:ascii="??" w:hAnsi="??" w:eastAsia="仿宋" w:cs="??"/>
      <w:kern w:val="2"/>
      <w:sz w:val="21"/>
      <w:szCs w:val="21"/>
      <w:lang w:val="en-US" w:eastAsia="zh-CN" w:bidi="ar-SA"/>
    </w:rPr>
  </w:style>
  <w:style w:type="character" w:customStyle="1" w:styleId="15">
    <w:name w:val="font41"/>
    <w:basedOn w:val="11"/>
    <w:qFormat/>
    <w:uiPriority w:val="0"/>
    <w:rPr>
      <w:rFonts w:ascii="??" w:hAnsi="??" w:eastAsia="Times New Roman" w:cs="??"/>
      <w:color w:val="000000"/>
      <w:sz w:val="28"/>
      <w:szCs w:val="28"/>
      <w:u w:val="none"/>
    </w:rPr>
  </w:style>
  <w:style w:type="character" w:customStyle="1" w:styleId="16">
    <w:name w:val="font01"/>
    <w:basedOn w:val="11"/>
    <w:qFormat/>
    <w:uiPriority w:val="0"/>
    <w:rPr>
      <w:rFonts w:ascii="Arial" w:hAnsi="Arial" w:cs="Arial"/>
      <w:color w:val="000000"/>
      <w:sz w:val="28"/>
      <w:szCs w:val="28"/>
      <w:u w:val="none"/>
    </w:rPr>
  </w:style>
  <w:style w:type="character" w:customStyle="1" w:styleId="17">
    <w:name w:val="10"/>
    <w:basedOn w:val="11"/>
    <w:uiPriority w:val="0"/>
    <w:rPr>
      <w:rFonts w:hint="default" w:ascii="Calibri" w:hAnsi="Calibri" w:cs="Calibri"/>
    </w:rPr>
  </w:style>
  <w:style w:type="character" w:customStyle="1" w:styleId="18">
    <w:name w:val="15"/>
    <w:basedOn w:val="11"/>
    <w:uiPriority w:val="0"/>
    <w:rPr>
      <w:rFonts w:hint="default" w:ascii="Calibri" w:hAnsi="Calibri" w:cs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3042</Words>
  <Characters>3088</Characters>
  <Lines>1</Lines>
  <Paragraphs>1</Paragraphs>
  <TotalTime>66</TotalTime>
  <ScaleCrop>false</ScaleCrop>
  <LinksUpToDate>false</LinksUpToDate>
  <CharactersWithSpaces>3092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2024-04-17T06:56:00Z</dcterms:created>
  <dc:creator>huanghe</dc:creator>
  <cp:lastModifiedBy>zyl小鲤</cp:lastModifiedBy>
  <cp:lastPrinted>2025-08-07T09:08:00Z</cp:lastPrinted>
  <dcterms:modified xsi:type="dcterms:W3CDTF">2026-04-13T03:58:20Z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A42E83D5BD4446479E48B28874377237_13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