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0FA9F">
      <w:pPr>
        <w:bidi w:val="0"/>
        <w:ind w:left="0" w:leftChars="0" w:firstLine="0" w:firstLineChars="0"/>
        <w:jc w:val="center"/>
        <w:rPr>
          <w:rFonts w:hint="eastAsia" w:ascii="方正小标宋简体" w:hAnsi="方正小标宋简体" w:eastAsia="方正小标宋简体" w:cs="方正小标宋简体"/>
          <w:color w:val="auto"/>
          <w:sz w:val="36"/>
          <w:szCs w:val="36"/>
        </w:rPr>
      </w:pPr>
    </w:p>
    <w:p w14:paraId="4014A50D">
      <w:pPr>
        <w:bidi w:val="0"/>
        <w:ind w:left="0" w:leftChars="0" w:firstLine="0" w:firstLineChars="0"/>
        <w:jc w:val="center"/>
        <w:rPr>
          <w:rFonts w:hint="eastAsia" w:ascii="方正小标宋简体" w:hAnsi="方正小标宋简体" w:eastAsia="方正小标宋简体" w:cs="方正小标宋简体"/>
          <w:color w:val="auto"/>
          <w:sz w:val="36"/>
          <w:szCs w:val="36"/>
        </w:rPr>
      </w:pPr>
    </w:p>
    <w:p w14:paraId="1A3CD8AA">
      <w:pPr>
        <w:bidi w:val="0"/>
        <w:ind w:left="0" w:leftChars="0" w:firstLine="0" w:firstLineChars="0"/>
        <w:jc w:val="center"/>
        <w:rPr>
          <w:rFonts w:hint="eastAsia" w:ascii="方正小标宋简体" w:hAnsi="方正小标宋简体" w:eastAsia="方正小标宋简体" w:cs="方正小标宋简体"/>
          <w:color w:val="auto"/>
          <w:sz w:val="36"/>
          <w:szCs w:val="36"/>
        </w:rPr>
      </w:pPr>
    </w:p>
    <w:p w14:paraId="046C970B">
      <w:pPr>
        <w:bidi w:val="0"/>
        <w:ind w:left="0" w:leftChars="0" w:firstLine="0" w:firstLineChars="0"/>
        <w:jc w:val="center"/>
        <w:rPr>
          <w:rFonts w:hint="eastAsia" w:ascii="方正小标宋简体" w:hAnsi="方正小标宋简体" w:eastAsia="方正小标宋简体" w:cs="方正小标宋简体"/>
          <w:color w:val="auto"/>
          <w:sz w:val="36"/>
          <w:szCs w:val="36"/>
        </w:rPr>
      </w:pPr>
    </w:p>
    <w:p w14:paraId="41C9E736">
      <w:pPr>
        <w:bidi w:val="0"/>
        <w:ind w:left="0" w:leftChars="0" w:firstLine="0" w:firstLineChars="0"/>
        <w:jc w:val="center"/>
        <w:rPr>
          <w:rFonts w:hint="eastAsia" w:ascii="方正小标宋简体" w:hAnsi="方正小标宋简体" w:eastAsia="方正小标宋简体" w:cs="方正小标宋简体"/>
          <w:color w:val="auto"/>
          <w:sz w:val="36"/>
          <w:szCs w:val="36"/>
        </w:rPr>
      </w:pPr>
    </w:p>
    <w:p w14:paraId="12323BC4">
      <w:pPr>
        <w:bidi w:val="0"/>
        <w:ind w:left="0" w:leftChars="0" w:firstLine="0" w:firstLineChars="0"/>
        <w:jc w:val="center"/>
        <w:rPr>
          <w:rFonts w:hint="eastAsia" w:ascii="方正小标宋简体" w:hAnsi="方正小标宋简体" w:eastAsia="方正小标宋简体" w:cs="方正小标宋简体"/>
          <w:color w:val="auto"/>
          <w:sz w:val="36"/>
          <w:szCs w:val="36"/>
        </w:rPr>
      </w:pPr>
    </w:p>
    <w:p w14:paraId="29226B9B">
      <w:pPr>
        <w:bidi w:val="0"/>
        <w:ind w:left="0" w:leftChars="0" w:firstLine="0" w:firstLineChars="0"/>
        <w:jc w:val="center"/>
        <w:rPr>
          <w:rFonts w:hint="eastAsia" w:ascii="方正小标宋简体" w:hAnsi="方正小标宋简体" w:eastAsia="方正小标宋简体" w:cs="方正小标宋简体"/>
          <w:color w:val="auto"/>
          <w:sz w:val="52"/>
          <w:szCs w:val="52"/>
        </w:rPr>
      </w:pPr>
      <w:r>
        <w:rPr>
          <w:rFonts w:hint="eastAsia" w:ascii="方正小标宋简体" w:hAnsi="方正小标宋简体" w:eastAsia="方正小标宋简体" w:cs="方正小标宋简体"/>
          <w:color w:val="auto"/>
          <w:sz w:val="52"/>
          <w:szCs w:val="52"/>
        </w:rPr>
        <w:t>河南省城市社区适老化改造导则</w:t>
      </w:r>
    </w:p>
    <w:p w14:paraId="5DC497EF">
      <w:pPr>
        <w:bidi w:val="0"/>
        <w:ind w:left="0" w:leftChars="0" w:firstLine="0" w:firstLineChars="0"/>
        <w:jc w:val="center"/>
        <w:rPr>
          <w:rFonts w:hint="eastAsia" w:ascii="楷体_GB2312" w:hAnsi="楷体_GB2312" w:eastAsia="楷体_GB2312" w:cs="楷体_GB2312"/>
          <w:color w:val="auto"/>
          <w:sz w:val="36"/>
          <w:szCs w:val="36"/>
          <w:lang w:eastAsia="zh-CN"/>
        </w:rPr>
      </w:pPr>
      <w:bookmarkStart w:id="19" w:name="_GoBack"/>
      <w:r>
        <w:rPr>
          <w:rFonts w:hint="eastAsia" w:ascii="楷体_GB2312" w:hAnsi="楷体_GB2312" w:eastAsia="楷体_GB2312" w:cs="楷体_GB2312"/>
          <w:color w:val="auto"/>
          <w:sz w:val="36"/>
          <w:szCs w:val="36"/>
          <w:lang w:eastAsia="zh-CN"/>
        </w:rPr>
        <w:t>（征求意见稿）</w:t>
      </w:r>
    </w:p>
    <w:bookmarkEnd w:id="19"/>
    <w:p w14:paraId="45D40188">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36AF0123">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588BECA5">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12316B8B">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4EA81300">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5319648C">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2F7201C3">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719D0176">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527E6391">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67B4695B">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78DD182D">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2DDAF9BE">
      <w:pPr>
        <w:bidi w:val="0"/>
        <w:ind w:left="0" w:leftChars="0" w:firstLine="0" w:firstLineChars="0"/>
        <w:jc w:val="center"/>
        <w:rPr>
          <w:rFonts w:hint="eastAsia" w:ascii="方正小标宋简体" w:hAnsi="方正小标宋简体" w:eastAsia="方正小标宋简体" w:cs="方正小标宋简体"/>
          <w:color w:val="auto"/>
          <w:sz w:val="52"/>
          <w:szCs w:val="52"/>
        </w:rPr>
      </w:pPr>
    </w:p>
    <w:p w14:paraId="79BBC2B8">
      <w:pPr>
        <w:bidi w:val="0"/>
        <w:ind w:left="0" w:leftChars="0" w:firstLine="0" w:firstLineChars="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河南省住房和城乡建设厅</w:t>
      </w:r>
    </w:p>
    <w:p w14:paraId="6D9B5F4A">
      <w:pPr>
        <w:bidi w:val="0"/>
        <w:ind w:left="0" w:leftChars="0" w:firstLine="0" w:firstLineChars="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2026年5月</w:t>
      </w:r>
    </w:p>
    <w:p w14:paraId="64E4C931">
      <w:pP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br w:type="page"/>
      </w:r>
    </w:p>
    <w:p w14:paraId="5A06EA1F">
      <w:pPr>
        <w:pStyle w:val="2"/>
        <w:numPr>
          <w:ilvl w:val="0"/>
          <w:numId w:val="0"/>
        </w:numPr>
        <w:bidi w:val="0"/>
        <w:ind w:leftChars="0"/>
        <w:jc w:val="center"/>
        <w:rPr>
          <w:rFonts w:hint="eastAsia"/>
          <w:color w:val="auto"/>
          <w:lang w:val="en-US" w:eastAsia="zh-CN"/>
        </w:rPr>
      </w:pPr>
      <w:bookmarkStart w:id="0" w:name="_Toc4783"/>
      <w:r>
        <w:rPr>
          <w:rFonts w:hint="eastAsia"/>
          <w:color w:val="auto"/>
          <w:lang w:val="en-US" w:eastAsia="zh-CN"/>
        </w:rPr>
        <w:t>前言</w:t>
      </w:r>
      <w:bookmarkEnd w:id="0"/>
    </w:p>
    <w:p w14:paraId="29183EC6">
      <w:pPr>
        <w:bidi w:val="0"/>
        <w:rPr>
          <w:rFonts w:hint="eastAsia"/>
          <w:color w:val="auto"/>
        </w:rPr>
      </w:pPr>
    </w:p>
    <w:p w14:paraId="4CDEB688">
      <w:pPr>
        <w:bidi w:val="0"/>
        <w:rPr>
          <w:rFonts w:hint="eastAsia"/>
          <w:color w:val="auto"/>
        </w:rPr>
      </w:pPr>
      <w:r>
        <w:rPr>
          <w:rFonts w:hint="eastAsia"/>
          <w:color w:val="auto"/>
        </w:rPr>
        <w:t>为深入贯彻党中央、国务院关于完整居住社区建设与积极应对人口老龄化的决策部署，全面落实住房和城乡建设部相关指南标准及河南省完整社区建设工作要求，聚焦当前城市社区基础设施适老化不足、养老服务供给短缺、公共空间适配性欠缺、智慧服务覆盖不均等突出问题，河南省住房和城乡建设厅组织编制</w:t>
      </w:r>
      <w:r>
        <w:rPr>
          <w:rFonts w:hint="eastAsia"/>
          <w:color w:val="auto"/>
          <w:lang w:eastAsia="zh-CN"/>
        </w:rPr>
        <w:t>了</w:t>
      </w:r>
      <w:r>
        <w:rPr>
          <w:rFonts w:hint="eastAsia"/>
          <w:color w:val="auto"/>
        </w:rPr>
        <w:t>《河南省城市社区适老化改造导则》（以下简称</w:t>
      </w:r>
      <w:r>
        <w:rPr>
          <w:rFonts w:hint="eastAsia"/>
          <w:color w:val="auto"/>
          <w:lang w:eastAsia="zh-CN"/>
        </w:rPr>
        <w:t>“</w:t>
      </w:r>
      <w:r>
        <w:rPr>
          <w:rFonts w:hint="eastAsia"/>
          <w:color w:val="auto"/>
          <w:lang w:val="en-US" w:eastAsia="zh-CN"/>
        </w:rPr>
        <w:t>本导则</w:t>
      </w:r>
      <w:r>
        <w:rPr>
          <w:rFonts w:hint="eastAsia"/>
          <w:color w:val="auto"/>
          <w:lang w:eastAsia="zh-CN"/>
        </w:rPr>
        <w:t>”</w:t>
      </w:r>
      <w:r>
        <w:rPr>
          <w:rFonts w:hint="eastAsia"/>
          <w:color w:val="auto"/>
        </w:rPr>
        <w:t>）。</w:t>
      </w:r>
    </w:p>
    <w:p w14:paraId="3C1E75C6">
      <w:pPr>
        <w:bidi w:val="0"/>
        <w:rPr>
          <w:rFonts w:hint="eastAsia"/>
          <w:color w:val="auto"/>
          <w:lang w:val="en-US" w:eastAsia="zh-CN"/>
        </w:rPr>
      </w:pPr>
      <w:r>
        <w:rPr>
          <w:rFonts w:hint="eastAsia"/>
          <w:color w:val="auto"/>
          <w:lang w:val="en-US" w:eastAsia="zh-CN"/>
        </w:rPr>
        <w:t>本导则为全省城市开展社区适老化改造提供了统一、科学、可操作的技术依据与实施指引，各地应按照本导则要求在完整社区建设中开展相应的适老化改造工作。本导则共分6章，包括编制目的、适用范围、改造原则、改造内容、改造流程与评估、附则。</w:t>
      </w:r>
    </w:p>
    <w:p w14:paraId="0F36A93F">
      <w:pPr>
        <w:bidi w:val="0"/>
        <w:rPr>
          <w:rFonts w:hint="default"/>
          <w:color w:val="auto"/>
          <w:lang w:val="en-US" w:eastAsia="zh-CN"/>
        </w:rPr>
      </w:pPr>
      <w:r>
        <w:rPr>
          <w:rFonts w:hint="default"/>
          <w:color w:val="auto"/>
          <w:lang w:val="en-US" w:eastAsia="zh-CN"/>
        </w:rPr>
        <w:t>本导则由河南省住房和城乡建设厅负责解释。执行过程中如有意见或建议，请</w:t>
      </w:r>
      <w:r>
        <w:rPr>
          <w:rFonts w:hint="eastAsia"/>
          <w:color w:val="auto"/>
          <w:lang w:val="en-US" w:eastAsia="zh-CN"/>
        </w:rPr>
        <w:t>发</w:t>
      </w:r>
      <w:r>
        <w:rPr>
          <w:rFonts w:hint="default"/>
          <w:color w:val="auto"/>
          <w:lang w:val="en-US" w:eastAsia="zh-CN"/>
        </w:rPr>
        <w:t>送至</w:t>
      </w:r>
      <w:r>
        <w:rPr>
          <w:rFonts w:hint="default"/>
          <w:color w:val="auto"/>
          <w:highlight w:val="none"/>
          <w:lang w:val="en-US" w:eastAsia="zh-CN"/>
        </w:rPr>
        <w:t>邮箱</w:t>
      </w:r>
      <w:r>
        <w:rPr>
          <w:rFonts w:hint="eastAsia" w:ascii="仿宋_GB2312" w:hAnsi="仿宋_GB2312" w:eastAsia="仿宋_GB2312" w:cs="仿宋_GB2312"/>
          <w:sz w:val="32"/>
          <w:szCs w:val="32"/>
        </w:rPr>
        <w:t>hncsgxbgs@163.com</w:t>
      </w:r>
      <w:r>
        <w:rPr>
          <w:rFonts w:hint="default"/>
          <w:color w:val="auto"/>
          <w:lang w:val="en-US" w:eastAsia="zh-CN"/>
        </w:rPr>
        <w:t>，以供今后修订时参考。</w:t>
      </w:r>
    </w:p>
    <w:p w14:paraId="0D25A87C">
      <w:pPr>
        <w:bidi w:val="0"/>
        <w:rPr>
          <w:rFonts w:hint="default"/>
          <w:color w:val="auto"/>
          <w:lang w:val="en-US" w:eastAsia="zh-CN"/>
        </w:rPr>
      </w:pPr>
      <w:r>
        <w:rPr>
          <w:rFonts w:hint="default"/>
          <w:color w:val="auto"/>
          <w:lang w:val="en-US" w:eastAsia="zh-CN"/>
        </w:rPr>
        <w:t>本导则自发布之日起施行。</w:t>
      </w:r>
    </w:p>
    <w:p w14:paraId="0345EBE8">
      <w:r>
        <w:rPr>
          <w:rFonts w:hint="default"/>
          <w:color w:val="auto"/>
          <w:lang w:val="en-US" w:eastAsia="zh-CN"/>
        </w:rPr>
        <w:br w:type="page"/>
      </w:r>
    </w:p>
    <w:sdt>
      <w:sdtPr>
        <w:rPr>
          <w:rFonts w:ascii="宋体" w:hAnsi="宋体" w:eastAsia="宋体" w:cstheme="minorBidi"/>
          <w:color w:val="auto"/>
          <w:kern w:val="2"/>
          <w:sz w:val="21"/>
          <w:szCs w:val="24"/>
          <w:lang w:val="en-US" w:eastAsia="zh-CN" w:bidi="ar-SA"/>
        </w:rPr>
        <w:id w:val="147458241"/>
        <w15:color w:val="DBDBDB"/>
        <w:docPartObj>
          <w:docPartGallery w:val="Table of Contents"/>
          <w:docPartUnique/>
        </w:docPartObj>
      </w:sdtPr>
      <w:sdtEndPr>
        <w:rPr>
          <w:rFonts w:hint="eastAsia" w:eastAsia="仿宋_GB2312" w:asciiTheme="minorAscii" w:hAnsiTheme="minorAscii" w:cstheme="minorBidi"/>
          <w:color w:val="auto"/>
          <w:kern w:val="2"/>
          <w:sz w:val="32"/>
          <w:szCs w:val="24"/>
          <w:lang w:val="en-US" w:eastAsia="zh-CN" w:bidi="ar-SA"/>
        </w:rPr>
      </w:sdtEndPr>
      <w:sdtContent>
        <w:p w14:paraId="41C6BBBB">
          <w:pPr>
            <w:ind w:firstLine="420" w:firstLineChars="200"/>
            <w:rPr>
              <w:rFonts w:ascii="宋体" w:hAnsi="宋体" w:eastAsia="宋体" w:cstheme="minorBidi"/>
              <w:color w:val="auto"/>
              <w:kern w:val="2"/>
              <w:sz w:val="21"/>
              <w:szCs w:val="24"/>
              <w:lang w:val="en-US" w:eastAsia="zh-CN" w:bidi="ar-SA"/>
            </w:rPr>
          </w:pPr>
        </w:p>
        <w:p w14:paraId="5B9342F5">
          <w:pPr>
            <w:spacing w:before="0" w:beforeLines="0" w:after="0" w:afterLines="0" w:line="240" w:lineRule="auto"/>
            <w:ind w:left="0" w:leftChars="0" w:right="0" w:rightChars="0" w:firstLine="0" w:firstLineChars="0"/>
            <w:jc w:val="center"/>
            <w:rPr>
              <w:b/>
              <w:bCs/>
              <w:color w:val="auto"/>
              <w:sz w:val="56"/>
              <w:szCs w:val="48"/>
            </w:rPr>
          </w:pPr>
          <w:r>
            <w:rPr>
              <w:rFonts w:ascii="宋体" w:hAnsi="宋体" w:eastAsia="宋体"/>
              <w:b/>
              <w:bCs/>
              <w:color w:val="auto"/>
              <w:sz w:val="40"/>
              <w:szCs w:val="48"/>
            </w:rPr>
            <w:t>目</w:t>
          </w:r>
          <w:r>
            <w:rPr>
              <w:rFonts w:hint="eastAsia" w:ascii="宋体" w:hAnsi="宋体" w:eastAsia="宋体"/>
              <w:b/>
              <w:bCs/>
              <w:color w:val="auto"/>
              <w:sz w:val="40"/>
              <w:szCs w:val="48"/>
              <w:lang w:val="en-US" w:eastAsia="zh-CN"/>
            </w:rPr>
            <w:t xml:space="preserve"> </w:t>
          </w:r>
          <w:r>
            <w:rPr>
              <w:rFonts w:ascii="宋体" w:hAnsi="宋体" w:eastAsia="宋体"/>
              <w:b/>
              <w:bCs/>
              <w:color w:val="auto"/>
              <w:sz w:val="40"/>
              <w:szCs w:val="48"/>
            </w:rPr>
            <w:t>录</w:t>
          </w:r>
        </w:p>
        <w:p w14:paraId="57057A28">
          <w:pPr>
            <w:pStyle w:val="14"/>
            <w:tabs>
              <w:tab w:val="right" w:leader="dot" w:pos="8306"/>
            </w:tabs>
            <w:ind w:left="0" w:leftChars="0" w:firstLine="0" w:firstLineChars="0"/>
          </w:pPr>
          <w:r>
            <w:rPr>
              <w:rFonts w:hint="eastAsia"/>
              <w:color w:val="auto"/>
            </w:rPr>
            <w:fldChar w:fldCharType="begin"/>
          </w:r>
          <w:r>
            <w:rPr>
              <w:rFonts w:hint="eastAsia"/>
              <w:color w:val="auto"/>
            </w:rPr>
            <w:instrText xml:space="preserve">TOC \o "1-2" \h \u </w:instrText>
          </w:r>
          <w:r>
            <w:rPr>
              <w:rFonts w:hint="eastAsia"/>
              <w:color w:val="auto"/>
            </w:rPr>
            <w:fldChar w:fldCharType="separate"/>
          </w:r>
          <w:r>
            <w:rPr>
              <w:rFonts w:hint="eastAsia"/>
              <w:color w:val="auto"/>
            </w:rPr>
            <w:fldChar w:fldCharType="begin"/>
          </w:r>
          <w:r>
            <w:rPr>
              <w:rFonts w:hint="eastAsia"/>
            </w:rPr>
            <w:instrText xml:space="preserve"> HYPERLINK \l _Toc4783 </w:instrText>
          </w:r>
          <w:r>
            <w:rPr>
              <w:rFonts w:hint="eastAsia"/>
            </w:rPr>
            <w:fldChar w:fldCharType="separate"/>
          </w:r>
          <w:r>
            <w:rPr>
              <w:rFonts w:hint="eastAsia"/>
              <w:lang w:val="en-US" w:eastAsia="zh-CN"/>
            </w:rPr>
            <w:t>前言</w:t>
          </w:r>
          <w:r>
            <w:tab/>
          </w:r>
          <w:r>
            <w:fldChar w:fldCharType="begin"/>
          </w:r>
          <w:r>
            <w:instrText xml:space="preserve"> PAGEREF _Toc4783 \h </w:instrText>
          </w:r>
          <w:r>
            <w:fldChar w:fldCharType="separate"/>
          </w:r>
          <w:r>
            <w:t>2</w:t>
          </w:r>
          <w:r>
            <w:fldChar w:fldCharType="end"/>
          </w:r>
          <w:r>
            <w:rPr>
              <w:rFonts w:hint="eastAsia"/>
              <w:color w:val="auto"/>
            </w:rPr>
            <w:fldChar w:fldCharType="end"/>
          </w:r>
        </w:p>
        <w:p w14:paraId="340A4DBF">
          <w:pPr>
            <w:pStyle w:val="14"/>
            <w:tabs>
              <w:tab w:val="right" w:leader="dot" w:pos="8306"/>
            </w:tabs>
            <w:ind w:left="0" w:leftChars="0" w:firstLine="0" w:firstLineChars="0"/>
          </w:pPr>
          <w:r>
            <w:rPr>
              <w:rFonts w:hint="eastAsia"/>
              <w:color w:val="auto"/>
            </w:rPr>
            <w:fldChar w:fldCharType="begin"/>
          </w:r>
          <w:r>
            <w:rPr>
              <w:rFonts w:hint="eastAsia"/>
            </w:rPr>
            <w:instrText xml:space="preserve"> HYPERLINK \l _Toc4388 </w:instrText>
          </w:r>
          <w:r>
            <w:rPr>
              <w:rFonts w:hint="eastAsia"/>
            </w:rPr>
            <w:fldChar w:fldCharType="separate"/>
          </w:r>
          <w:r>
            <w:rPr>
              <w:rFonts w:hint="default"/>
            </w:rPr>
            <w:t xml:space="preserve">1. </w:t>
          </w:r>
          <w:r>
            <w:t>编制目的</w:t>
          </w:r>
          <w:r>
            <w:tab/>
          </w:r>
          <w:r>
            <w:fldChar w:fldCharType="begin"/>
          </w:r>
          <w:r>
            <w:instrText xml:space="preserve"> PAGEREF _Toc4388 \h </w:instrText>
          </w:r>
          <w:r>
            <w:fldChar w:fldCharType="separate"/>
          </w:r>
          <w:r>
            <w:t>1</w:t>
          </w:r>
          <w:r>
            <w:fldChar w:fldCharType="end"/>
          </w:r>
          <w:r>
            <w:rPr>
              <w:rFonts w:hint="eastAsia"/>
              <w:color w:val="auto"/>
            </w:rPr>
            <w:fldChar w:fldCharType="end"/>
          </w:r>
        </w:p>
        <w:p w14:paraId="4E8F5F9D">
          <w:pPr>
            <w:pStyle w:val="14"/>
            <w:tabs>
              <w:tab w:val="right" w:leader="dot" w:pos="8306"/>
            </w:tabs>
            <w:ind w:left="0" w:leftChars="0" w:firstLine="0" w:firstLineChars="0"/>
          </w:pPr>
          <w:r>
            <w:rPr>
              <w:rFonts w:hint="eastAsia"/>
              <w:color w:val="auto"/>
            </w:rPr>
            <w:fldChar w:fldCharType="begin"/>
          </w:r>
          <w:r>
            <w:rPr>
              <w:rFonts w:hint="eastAsia"/>
            </w:rPr>
            <w:instrText xml:space="preserve"> HYPERLINK \l _Toc12425 </w:instrText>
          </w:r>
          <w:r>
            <w:rPr>
              <w:rFonts w:hint="eastAsia"/>
            </w:rPr>
            <w:fldChar w:fldCharType="separate"/>
          </w:r>
          <w:r>
            <w:rPr>
              <w:rFonts w:hint="default"/>
            </w:rPr>
            <w:t xml:space="preserve">2. </w:t>
          </w:r>
          <w:r>
            <w:t>适用范围</w:t>
          </w:r>
          <w:r>
            <w:tab/>
          </w:r>
          <w:r>
            <w:fldChar w:fldCharType="begin"/>
          </w:r>
          <w:r>
            <w:instrText xml:space="preserve"> PAGEREF _Toc12425 \h </w:instrText>
          </w:r>
          <w:r>
            <w:fldChar w:fldCharType="separate"/>
          </w:r>
          <w:r>
            <w:t>1</w:t>
          </w:r>
          <w:r>
            <w:fldChar w:fldCharType="end"/>
          </w:r>
          <w:r>
            <w:rPr>
              <w:rFonts w:hint="eastAsia"/>
              <w:color w:val="auto"/>
            </w:rPr>
            <w:fldChar w:fldCharType="end"/>
          </w:r>
        </w:p>
        <w:p w14:paraId="5E220980">
          <w:pPr>
            <w:pStyle w:val="14"/>
            <w:tabs>
              <w:tab w:val="right" w:leader="dot" w:pos="8306"/>
            </w:tabs>
            <w:ind w:left="0" w:leftChars="0" w:firstLine="0" w:firstLineChars="0"/>
          </w:pPr>
          <w:r>
            <w:rPr>
              <w:rFonts w:hint="eastAsia"/>
              <w:color w:val="auto"/>
            </w:rPr>
            <w:fldChar w:fldCharType="begin"/>
          </w:r>
          <w:r>
            <w:rPr>
              <w:rFonts w:hint="eastAsia"/>
            </w:rPr>
            <w:instrText xml:space="preserve"> HYPERLINK \l _Toc32670 </w:instrText>
          </w:r>
          <w:r>
            <w:rPr>
              <w:rFonts w:hint="eastAsia"/>
            </w:rPr>
            <w:fldChar w:fldCharType="separate"/>
          </w:r>
          <w:r>
            <w:rPr>
              <w:rFonts w:hint="default"/>
              <w:lang w:val="en-US" w:eastAsia="zh-CN"/>
            </w:rPr>
            <w:t xml:space="preserve">3. </w:t>
          </w:r>
          <w:r>
            <w:rPr>
              <w:rFonts w:hint="eastAsia"/>
              <w:lang w:val="en-US" w:eastAsia="zh-CN"/>
            </w:rPr>
            <w:t>改造原则</w:t>
          </w:r>
          <w:r>
            <w:tab/>
          </w:r>
          <w:r>
            <w:fldChar w:fldCharType="begin"/>
          </w:r>
          <w:r>
            <w:instrText xml:space="preserve"> PAGEREF _Toc32670 \h </w:instrText>
          </w:r>
          <w:r>
            <w:fldChar w:fldCharType="separate"/>
          </w:r>
          <w:r>
            <w:t>1</w:t>
          </w:r>
          <w:r>
            <w:fldChar w:fldCharType="end"/>
          </w:r>
          <w:r>
            <w:rPr>
              <w:rFonts w:hint="eastAsia"/>
              <w:color w:val="auto"/>
            </w:rPr>
            <w:fldChar w:fldCharType="end"/>
          </w:r>
        </w:p>
        <w:p w14:paraId="2C13F438">
          <w:pPr>
            <w:pStyle w:val="14"/>
            <w:tabs>
              <w:tab w:val="right" w:leader="dot" w:pos="8306"/>
            </w:tabs>
            <w:ind w:left="0" w:leftChars="0" w:firstLine="0" w:firstLineChars="0"/>
          </w:pPr>
          <w:r>
            <w:rPr>
              <w:rFonts w:hint="eastAsia"/>
              <w:color w:val="auto"/>
            </w:rPr>
            <w:fldChar w:fldCharType="begin"/>
          </w:r>
          <w:r>
            <w:rPr>
              <w:rFonts w:hint="eastAsia"/>
            </w:rPr>
            <w:instrText xml:space="preserve"> HYPERLINK \l _Toc15490 </w:instrText>
          </w:r>
          <w:r>
            <w:rPr>
              <w:rFonts w:hint="eastAsia"/>
            </w:rPr>
            <w:fldChar w:fldCharType="separate"/>
          </w:r>
          <w:r>
            <w:rPr>
              <w:rFonts w:hint="default"/>
            </w:rPr>
            <w:t xml:space="preserve">4. </w:t>
          </w:r>
          <w:r>
            <w:rPr>
              <w:rFonts w:hint="eastAsia"/>
              <w:lang w:val="en-US" w:eastAsia="zh-CN"/>
            </w:rPr>
            <w:t>改造内容</w:t>
          </w:r>
          <w:r>
            <w:tab/>
          </w:r>
          <w:r>
            <w:fldChar w:fldCharType="begin"/>
          </w:r>
          <w:r>
            <w:instrText xml:space="preserve"> PAGEREF _Toc15490 \h </w:instrText>
          </w:r>
          <w:r>
            <w:fldChar w:fldCharType="separate"/>
          </w:r>
          <w:r>
            <w:t>2</w:t>
          </w:r>
          <w:r>
            <w:fldChar w:fldCharType="end"/>
          </w:r>
          <w:r>
            <w:rPr>
              <w:rFonts w:hint="eastAsia"/>
              <w:color w:val="auto"/>
            </w:rPr>
            <w:fldChar w:fldCharType="end"/>
          </w:r>
        </w:p>
        <w:p w14:paraId="39B9320E">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_Toc12697 </w:instrText>
          </w:r>
          <w:r>
            <w:rPr>
              <w:rFonts w:hint="eastAsia"/>
            </w:rPr>
            <w:fldChar w:fldCharType="separate"/>
          </w:r>
          <w:r>
            <w:rPr>
              <w:rFonts w:hint="default"/>
            </w:rPr>
            <w:t xml:space="preserve">4.1 </w:t>
          </w:r>
          <w:r>
            <w:rPr>
              <w:rFonts w:hint="eastAsia"/>
            </w:rPr>
            <w:t>住宅建筑适老化</w:t>
          </w:r>
          <w:r>
            <w:rPr>
              <w:rFonts w:hint="eastAsia"/>
              <w:lang w:val="en-US" w:eastAsia="zh-CN"/>
            </w:rPr>
            <w:t>改造</w:t>
          </w:r>
          <w:r>
            <w:tab/>
          </w:r>
          <w:r>
            <w:fldChar w:fldCharType="begin"/>
          </w:r>
          <w:r>
            <w:instrText xml:space="preserve"> PAGEREF _Toc12697 \h </w:instrText>
          </w:r>
          <w:r>
            <w:fldChar w:fldCharType="separate"/>
          </w:r>
          <w:r>
            <w:t>2</w:t>
          </w:r>
          <w:r>
            <w:fldChar w:fldCharType="end"/>
          </w:r>
          <w:r>
            <w:rPr>
              <w:rFonts w:hint="eastAsia"/>
              <w:color w:val="auto"/>
            </w:rPr>
            <w:fldChar w:fldCharType="end"/>
          </w:r>
        </w:p>
        <w:p w14:paraId="66C57CE3">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_Toc4222 </w:instrText>
          </w:r>
          <w:r>
            <w:rPr>
              <w:rFonts w:hint="eastAsia"/>
            </w:rPr>
            <w:fldChar w:fldCharType="separate"/>
          </w:r>
          <w:r>
            <w:rPr>
              <w:rFonts w:hint="default"/>
            </w:rPr>
            <w:t xml:space="preserve">4.2 </w:t>
          </w:r>
          <w:r>
            <w:rPr>
              <w:rFonts w:hint="eastAsia"/>
              <w:lang w:val="en-US" w:eastAsia="zh-CN"/>
            </w:rPr>
            <w:t>社区开敞空间</w:t>
          </w:r>
          <w:r>
            <w:rPr>
              <w:rFonts w:hint="eastAsia"/>
            </w:rPr>
            <w:t>适老化</w:t>
          </w:r>
          <w:r>
            <w:rPr>
              <w:rFonts w:hint="eastAsia"/>
              <w:lang w:val="en-US" w:eastAsia="zh-CN"/>
            </w:rPr>
            <w:t>改造</w:t>
          </w:r>
          <w:r>
            <w:tab/>
          </w:r>
          <w:r>
            <w:fldChar w:fldCharType="begin"/>
          </w:r>
          <w:r>
            <w:instrText xml:space="preserve"> PAGEREF _Toc4222 \h </w:instrText>
          </w:r>
          <w:r>
            <w:fldChar w:fldCharType="separate"/>
          </w:r>
          <w:r>
            <w:t>10</w:t>
          </w:r>
          <w:r>
            <w:fldChar w:fldCharType="end"/>
          </w:r>
          <w:r>
            <w:rPr>
              <w:rFonts w:hint="eastAsia"/>
              <w:color w:val="auto"/>
            </w:rPr>
            <w:fldChar w:fldCharType="end"/>
          </w:r>
        </w:p>
        <w:p w14:paraId="7FE37B1F">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_Toc13565 </w:instrText>
          </w:r>
          <w:r>
            <w:rPr>
              <w:rFonts w:hint="eastAsia"/>
            </w:rPr>
            <w:fldChar w:fldCharType="separate"/>
          </w:r>
          <w:r>
            <w:rPr>
              <w:rFonts w:hint="default"/>
            </w:rPr>
            <w:t xml:space="preserve">4.3 </w:t>
          </w:r>
          <w:r>
            <w:rPr>
              <w:rFonts w:hint="eastAsia"/>
            </w:rPr>
            <w:t>公共服务设施适老化</w:t>
          </w:r>
          <w:r>
            <w:rPr>
              <w:rFonts w:hint="eastAsia"/>
              <w:lang w:val="en-US" w:eastAsia="zh-CN"/>
            </w:rPr>
            <w:t>改造</w:t>
          </w:r>
          <w:r>
            <w:tab/>
          </w:r>
          <w:r>
            <w:fldChar w:fldCharType="begin"/>
          </w:r>
          <w:r>
            <w:instrText xml:space="preserve"> PAGEREF _Toc13565 \h </w:instrText>
          </w:r>
          <w:r>
            <w:fldChar w:fldCharType="separate"/>
          </w:r>
          <w:r>
            <w:t>15</w:t>
          </w:r>
          <w:r>
            <w:fldChar w:fldCharType="end"/>
          </w:r>
          <w:r>
            <w:rPr>
              <w:rFonts w:hint="eastAsia"/>
              <w:color w:val="auto"/>
            </w:rPr>
            <w:fldChar w:fldCharType="end"/>
          </w:r>
        </w:p>
        <w:p w14:paraId="6276F97F">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_Toc20709 </w:instrText>
          </w:r>
          <w:r>
            <w:rPr>
              <w:rFonts w:hint="eastAsia"/>
            </w:rPr>
            <w:fldChar w:fldCharType="separate"/>
          </w:r>
          <w:r>
            <w:rPr>
              <w:rFonts w:hint="default"/>
            </w:rPr>
            <w:t xml:space="preserve">4.4 </w:t>
          </w:r>
          <w:r>
            <w:rPr>
              <w:rFonts w:hint="eastAsia"/>
            </w:rPr>
            <w:t>市政基础设施适老化</w:t>
          </w:r>
          <w:r>
            <w:rPr>
              <w:rFonts w:hint="eastAsia"/>
              <w:lang w:val="en-US" w:eastAsia="zh-CN"/>
            </w:rPr>
            <w:t>改造</w:t>
          </w:r>
          <w:r>
            <w:tab/>
          </w:r>
          <w:r>
            <w:fldChar w:fldCharType="begin"/>
          </w:r>
          <w:r>
            <w:instrText xml:space="preserve"> PAGEREF _Toc20709 \h </w:instrText>
          </w:r>
          <w:r>
            <w:fldChar w:fldCharType="separate"/>
          </w:r>
          <w:r>
            <w:t>19</w:t>
          </w:r>
          <w:r>
            <w:fldChar w:fldCharType="end"/>
          </w:r>
          <w:r>
            <w:rPr>
              <w:rFonts w:hint="eastAsia"/>
              <w:color w:val="auto"/>
            </w:rPr>
            <w:fldChar w:fldCharType="end"/>
          </w:r>
        </w:p>
        <w:p w14:paraId="56DEA856">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_Toc14897 </w:instrText>
          </w:r>
          <w:r>
            <w:rPr>
              <w:rFonts w:hint="eastAsia"/>
            </w:rPr>
            <w:fldChar w:fldCharType="separate"/>
          </w:r>
          <w:r>
            <w:rPr>
              <w:rFonts w:hint="default"/>
            </w:rPr>
            <w:t xml:space="preserve">4.5 </w:t>
          </w:r>
          <w:r>
            <w:rPr>
              <w:rFonts w:hint="eastAsia"/>
              <w:lang w:val="en-US" w:eastAsia="zh-CN"/>
            </w:rPr>
            <w:t>社区治理与服务</w:t>
          </w:r>
          <w:r>
            <w:rPr>
              <w:rFonts w:hint="eastAsia"/>
            </w:rPr>
            <w:t>适老化</w:t>
          </w:r>
          <w:r>
            <w:rPr>
              <w:rFonts w:hint="eastAsia"/>
              <w:lang w:val="en-US" w:eastAsia="zh-CN"/>
            </w:rPr>
            <w:t>改造</w:t>
          </w:r>
          <w:r>
            <w:tab/>
          </w:r>
          <w:r>
            <w:fldChar w:fldCharType="begin"/>
          </w:r>
          <w:r>
            <w:instrText xml:space="preserve"> PAGEREF _Toc14897 \h </w:instrText>
          </w:r>
          <w:r>
            <w:fldChar w:fldCharType="separate"/>
          </w:r>
          <w:r>
            <w:t>25</w:t>
          </w:r>
          <w:r>
            <w:fldChar w:fldCharType="end"/>
          </w:r>
          <w:r>
            <w:rPr>
              <w:rFonts w:hint="eastAsia"/>
              <w:color w:val="auto"/>
            </w:rPr>
            <w:fldChar w:fldCharType="end"/>
          </w:r>
        </w:p>
        <w:p w14:paraId="091F7C24">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_Toc31669 </w:instrText>
          </w:r>
          <w:r>
            <w:rPr>
              <w:rFonts w:hint="eastAsia"/>
            </w:rPr>
            <w:fldChar w:fldCharType="separate"/>
          </w:r>
          <w:r>
            <w:rPr>
              <w:rFonts w:hint="default"/>
            </w:rPr>
            <w:t xml:space="preserve">4.6 </w:t>
          </w:r>
          <w:r>
            <w:rPr>
              <w:rFonts w:hint="eastAsia"/>
            </w:rPr>
            <w:t>智慧化与安全适老化提升</w:t>
          </w:r>
          <w:r>
            <w:tab/>
          </w:r>
          <w:r>
            <w:fldChar w:fldCharType="begin"/>
          </w:r>
          <w:r>
            <w:instrText xml:space="preserve"> PAGEREF _Toc31669 \h </w:instrText>
          </w:r>
          <w:r>
            <w:fldChar w:fldCharType="separate"/>
          </w:r>
          <w:r>
            <w:t>28</w:t>
          </w:r>
          <w:r>
            <w:fldChar w:fldCharType="end"/>
          </w:r>
          <w:r>
            <w:rPr>
              <w:rFonts w:hint="eastAsia"/>
              <w:color w:val="auto"/>
            </w:rPr>
            <w:fldChar w:fldCharType="end"/>
          </w:r>
        </w:p>
        <w:p w14:paraId="59D9736C">
          <w:pPr>
            <w:pStyle w:val="14"/>
            <w:tabs>
              <w:tab w:val="right" w:leader="dot" w:pos="8306"/>
            </w:tabs>
            <w:ind w:left="0" w:leftChars="0" w:firstLine="0" w:firstLineChars="0"/>
          </w:pPr>
          <w:r>
            <w:rPr>
              <w:rFonts w:hint="eastAsia"/>
              <w:color w:val="auto"/>
            </w:rPr>
            <w:fldChar w:fldCharType="begin"/>
          </w:r>
          <w:r>
            <w:rPr>
              <w:rFonts w:hint="eastAsia"/>
            </w:rPr>
            <w:instrText xml:space="preserve"> HYPERLINK \l _Toc24992 </w:instrText>
          </w:r>
          <w:r>
            <w:rPr>
              <w:rFonts w:hint="eastAsia"/>
            </w:rPr>
            <w:fldChar w:fldCharType="separate"/>
          </w:r>
          <w:r>
            <w:rPr>
              <w:rFonts w:hint="default"/>
            </w:rPr>
            <w:t xml:space="preserve">5. </w:t>
          </w:r>
          <w:r>
            <w:rPr>
              <w:rFonts w:hint="eastAsia"/>
              <w:lang w:val="en-US" w:eastAsia="zh-CN"/>
            </w:rPr>
            <w:t>改造流程与评估</w:t>
          </w:r>
          <w:r>
            <w:tab/>
          </w:r>
          <w:r>
            <w:fldChar w:fldCharType="begin"/>
          </w:r>
          <w:r>
            <w:instrText xml:space="preserve"> PAGEREF _Toc24992 \h </w:instrText>
          </w:r>
          <w:r>
            <w:fldChar w:fldCharType="separate"/>
          </w:r>
          <w:r>
            <w:t>31</w:t>
          </w:r>
          <w:r>
            <w:fldChar w:fldCharType="end"/>
          </w:r>
          <w:r>
            <w:rPr>
              <w:rFonts w:hint="eastAsia"/>
              <w:color w:val="auto"/>
            </w:rPr>
            <w:fldChar w:fldCharType="end"/>
          </w:r>
        </w:p>
        <w:p w14:paraId="171E67DC">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_Toc2158 </w:instrText>
          </w:r>
          <w:r>
            <w:rPr>
              <w:rFonts w:hint="eastAsia"/>
            </w:rPr>
            <w:fldChar w:fldCharType="separate"/>
          </w:r>
          <w:r>
            <w:rPr>
              <w:rFonts w:hint="default"/>
              <w:lang w:val="en-US" w:eastAsia="zh-CN"/>
            </w:rPr>
            <w:t xml:space="preserve">5.1 </w:t>
          </w:r>
          <w:r>
            <w:rPr>
              <w:rFonts w:hint="eastAsia"/>
              <w:lang w:val="en-US" w:eastAsia="zh-CN"/>
            </w:rPr>
            <w:t>改造流程</w:t>
          </w:r>
          <w:r>
            <w:tab/>
          </w:r>
          <w:r>
            <w:fldChar w:fldCharType="begin"/>
          </w:r>
          <w:r>
            <w:instrText xml:space="preserve"> PAGEREF _Toc2158 \h </w:instrText>
          </w:r>
          <w:r>
            <w:fldChar w:fldCharType="separate"/>
          </w:r>
          <w:r>
            <w:t>31</w:t>
          </w:r>
          <w:r>
            <w:fldChar w:fldCharType="end"/>
          </w:r>
          <w:r>
            <w:rPr>
              <w:rFonts w:hint="eastAsia"/>
              <w:color w:val="auto"/>
            </w:rPr>
            <w:fldChar w:fldCharType="end"/>
          </w:r>
        </w:p>
        <w:p w14:paraId="4852B5E4">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_Toc17027 </w:instrText>
          </w:r>
          <w:r>
            <w:rPr>
              <w:rFonts w:hint="eastAsia"/>
            </w:rPr>
            <w:fldChar w:fldCharType="separate"/>
          </w:r>
          <w:r>
            <w:rPr>
              <w:rFonts w:hint="default"/>
              <w:lang w:val="en-US" w:eastAsia="zh-CN"/>
            </w:rPr>
            <w:t xml:space="preserve">5.2 </w:t>
          </w:r>
          <w:r>
            <w:rPr>
              <w:rFonts w:hint="eastAsia"/>
              <w:lang w:val="en-US" w:eastAsia="zh-CN"/>
            </w:rPr>
            <w:t>改造后评估</w:t>
          </w:r>
          <w:r>
            <w:tab/>
          </w:r>
          <w:r>
            <w:fldChar w:fldCharType="begin"/>
          </w:r>
          <w:r>
            <w:instrText xml:space="preserve"> PAGEREF _Toc17027 \h </w:instrText>
          </w:r>
          <w:r>
            <w:fldChar w:fldCharType="separate"/>
          </w:r>
          <w:r>
            <w:t>31</w:t>
          </w:r>
          <w:r>
            <w:fldChar w:fldCharType="end"/>
          </w:r>
          <w:r>
            <w:rPr>
              <w:rFonts w:hint="eastAsia"/>
              <w:color w:val="auto"/>
            </w:rPr>
            <w:fldChar w:fldCharType="end"/>
          </w:r>
        </w:p>
        <w:p w14:paraId="3F148A96">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_Toc8246 </w:instrText>
          </w:r>
          <w:r>
            <w:rPr>
              <w:rFonts w:hint="eastAsia"/>
            </w:rPr>
            <w:fldChar w:fldCharType="separate"/>
          </w:r>
          <w:r>
            <w:rPr>
              <w:rFonts w:hint="default"/>
              <w:lang w:val="en-US" w:eastAsia="zh-CN"/>
            </w:rPr>
            <w:t xml:space="preserve">5.3 </w:t>
          </w:r>
          <w:r>
            <w:rPr>
              <w:rFonts w:hint="eastAsia"/>
              <w:lang w:val="en-US" w:eastAsia="zh-CN"/>
            </w:rPr>
            <w:t>评估结果应用</w:t>
          </w:r>
          <w:r>
            <w:tab/>
          </w:r>
          <w:r>
            <w:fldChar w:fldCharType="begin"/>
          </w:r>
          <w:r>
            <w:instrText xml:space="preserve"> PAGEREF _Toc8246 \h </w:instrText>
          </w:r>
          <w:r>
            <w:fldChar w:fldCharType="separate"/>
          </w:r>
          <w:r>
            <w:t>33</w:t>
          </w:r>
          <w:r>
            <w:fldChar w:fldCharType="end"/>
          </w:r>
          <w:r>
            <w:rPr>
              <w:rFonts w:hint="eastAsia"/>
              <w:color w:val="auto"/>
            </w:rPr>
            <w:fldChar w:fldCharType="end"/>
          </w:r>
        </w:p>
        <w:p w14:paraId="63DF59F8">
          <w:pPr>
            <w:pStyle w:val="14"/>
            <w:tabs>
              <w:tab w:val="right" w:leader="dot" w:pos="8306"/>
            </w:tabs>
            <w:ind w:left="0" w:leftChars="0" w:firstLine="0" w:firstLineChars="0"/>
          </w:pPr>
          <w:r>
            <w:rPr>
              <w:rFonts w:hint="eastAsia"/>
              <w:color w:val="auto"/>
            </w:rPr>
            <w:fldChar w:fldCharType="begin"/>
          </w:r>
          <w:r>
            <w:rPr>
              <w:rFonts w:hint="eastAsia"/>
            </w:rPr>
            <w:instrText xml:space="preserve"> HYPERLINK \l _Toc23797 </w:instrText>
          </w:r>
          <w:r>
            <w:rPr>
              <w:rFonts w:hint="eastAsia"/>
            </w:rPr>
            <w:fldChar w:fldCharType="separate"/>
          </w:r>
          <w:r>
            <w:rPr>
              <w:rFonts w:hint="default"/>
            </w:rPr>
            <w:t xml:space="preserve">6. </w:t>
          </w:r>
          <w:r>
            <w:rPr>
              <w:rFonts w:hint="eastAsia"/>
              <w:lang w:val="en-US" w:eastAsia="zh-CN"/>
            </w:rPr>
            <w:t>附则</w:t>
          </w:r>
          <w:r>
            <w:tab/>
          </w:r>
          <w:r>
            <w:fldChar w:fldCharType="begin"/>
          </w:r>
          <w:r>
            <w:instrText xml:space="preserve"> PAGEREF _Toc23797 \h </w:instrText>
          </w:r>
          <w:r>
            <w:fldChar w:fldCharType="separate"/>
          </w:r>
          <w:r>
            <w:t>34</w:t>
          </w:r>
          <w:r>
            <w:fldChar w:fldCharType="end"/>
          </w:r>
          <w:r>
            <w:rPr>
              <w:rFonts w:hint="eastAsia"/>
              <w:color w:val="auto"/>
            </w:rPr>
            <w:fldChar w:fldCharType="end"/>
          </w:r>
        </w:p>
        <w:p w14:paraId="27DB3F11">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_Toc30754 </w:instrText>
          </w:r>
          <w:r>
            <w:rPr>
              <w:rFonts w:hint="eastAsia"/>
            </w:rPr>
            <w:fldChar w:fldCharType="separate"/>
          </w:r>
          <w:r>
            <w:rPr>
              <w:rFonts w:hint="default"/>
              <w:lang w:val="en-US"/>
            </w:rPr>
            <w:t xml:space="preserve">6.1 </w:t>
          </w:r>
          <w:r>
            <w:rPr>
              <w:rFonts w:hint="eastAsia"/>
              <w:lang w:val="en-US" w:eastAsia="zh-CN"/>
            </w:rPr>
            <w:t>名词解释</w:t>
          </w:r>
          <w:r>
            <w:tab/>
          </w:r>
          <w:r>
            <w:fldChar w:fldCharType="begin"/>
          </w:r>
          <w:r>
            <w:instrText xml:space="preserve"> PAGEREF _Toc30754 \h </w:instrText>
          </w:r>
          <w:r>
            <w:fldChar w:fldCharType="separate"/>
          </w:r>
          <w:r>
            <w:t>34</w:t>
          </w:r>
          <w:r>
            <w:fldChar w:fldCharType="end"/>
          </w:r>
          <w:r>
            <w:rPr>
              <w:rFonts w:hint="eastAsia"/>
              <w:color w:val="auto"/>
            </w:rPr>
            <w:fldChar w:fldCharType="end"/>
          </w:r>
        </w:p>
        <w:p w14:paraId="6648215F">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_Toc31122 </w:instrText>
          </w:r>
          <w:r>
            <w:rPr>
              <w:rFonts w:hint="eastAsia"/>
            </w:rPr>
            <w:fldChar w:fldCharType="separate"/>
          </w:r>
          <w:r>
            <w:rPr>
              <w:rFonts w:hint="default"/>
              <w:lang w:val="en-US" w:eastAsia="zh-CN"/>
            </w:rPr>
            <w:t xml:space="preserve">6.2 </w:t>
          </w:r>
          <w:r>
            <w:rPr>
              <w:rFonts w:hint="eastAsia"/>
              <w:lang w:val="en-US" w:eastAsia="zh-CN"/>
            </w:rPr>
            <w:t>与其他标准规范的衔接</w:t>
          </w:r>
          <w:r>
            <w:tab/>
          </w:r>
          <w:r>
            <w:fldChar w:fldCharType="begin"/>
          </w:r>
          <w:r>
            <w:instrText xml:space="preserve"> PAGEREF _Toc31122 \h </w:instrText>
          </w:r>
          <w:r>
            <w:fldChar w:fldCharType="separate"/>
          </w:r>
          <w:r>
            <w:t>35</w:t>
          </w:r>
          <w:r>
            <w:fldChar w:fldCharType="end"/>
          </w:r>
          <w:r>
            <w:rPr>
              <w:rFonts w:hint="eastAsia"/>
              <w:color w:val="auto"/>
            </w:rPr>
            <w:fldChar w:fldCharType="end"/>
          </w:r>
        </w:p>
        <w:p w14:paraId="2DA8F106">
          <w:pPr>
            <w:pStyle w:val="15"/>
            <w:tabs>
              <w:tab w:val="right" w:leader="dot" w:pos="8306"/>
            </w:tabs>
            <w:ind w:left="0" w:leftChars="0" w:firstLine="640" w:firstLineChars="200"/>
          </w:pPr>
          <w:r>
            <w:rPr>
              <w:rFonts w:hint="eastAsia"/>
              <w:color w:val="auto"/>
            </w:rPr>
            <w:fldChar w:fldCharType="begin"/>
          </w:r>
          <w:r>
            <w:rPr>
              <w:rFonts w:hint="eastAsia"/>
            </w:rPr>
            <w:instrText xml:space="preserve"> HYPERLINK \l _Toc26314 </w:instrText>
          </w:r>
          <w:r>
            <w:rPr>
              <w:rFonts w:hint="eastAsia"/>
            </w:rPr>
            <w:fldChar w:fldCharType="separate"/>
          </w:r>
          <w:r>
            <w:rPr>
              <w:rFonts w:hint="default"/>
              <w:lang w:val="en-US" w:eastAsia="zh-CN"/>
            </w:rPr>
            <w:t>6.3 动态修订机制</w:t>
          </w:r>
          <w:r>
            <w:tab/>
          </w:r>
          <w:r>
            <w:fldChar w:fldCharType="begin"/>
          </w:r>
          <w:r>
            <w:instrText xml:space="preserve"> PAGEREF _Toc26314 \h </w:instrText>
          </w:r>
          <w:r>
            <w:fldChar w:fldCharType="separate"/>
          </w:r>
          <w:r>
            <w:t>35</w:t>
          </w:r>
          <w:r>
            <w:fldChar w:fldCharType="end"/>
          </w:r>
          <w:r>
            <w:rPr>
              <w:rFonts w:hint="eastAsia"/>
              <w:color w:val="auto"/>
            </w:rPr>
            <w:fldChar w:fldCharType="end"/>
          </w:r>
        </w:p>
        <w:p w14:paraId="3B30E55A">
          <w:pPr>
            <w:ind w:left="0" w:leftChars="0" w:firstLine="0" w:firstLineChars="0"/>
            <w:rPr>
              <w:rFonts w:hint="eastAsia" w:eastAsia="仿宋_GB2312" w:asciiTheme="minorAscii" w:hAnsiTheme="minorAscii" w:cstheme="minorBidi"/>
              <w:color w:val="auto"/>
              <w:kern w:val="2"/>
              <w:sz w:val="32"/>
              <w:szCs w:val="24"/>
              <w:lang w:val="en-US" w:eastAsia="zh-CN" w:bidi="ar-SA"/>
            </w:rPr>
          </w:pPr>
          <w:r>
            <w:rPr>
              <w:rFonts w:hint="eastAsia"/>
              <w:color w:val="auto"/>
            </w:rPr>
            <w:fldChar w:fldCharType="end"/>
          </w:r>
        </w:p>
      </w:sdtContent>
    </w:sdt>
    <w:p w14:paraId="0C7BF34F">
      <w:pPr>
        <w:pStyle w:val="2"/>
        <w:bidi w:val="0"/>
        <w:rPr>
          <w:color w:val="auto"/>
        </w:rPr>
        <w:sectPr>
          <w:footerReference r:id="rId5"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r>
        <w:rPr>
          <w:rFonts w:hint="eastAsia" w:eastAsia="仿宋_GB2312" w:asciiTheme="minorAscii" w:hAnsiTheme="minorAscii" w:cstheme="minorBidi"/>
          <w:color w:val="auto"/>
          <w:kern w:val="2"/>
          <w:sz w:val="32"/>
          <w:szCs w:val="24"/>
          <w:lang w:val="en-US" w:eastAsia="zh-CN" w:bidi="ar-SA"/>
        </w:rPr>
        <w:br w:type="page"/>
      </w:r>
    </w:p>
    <w:p w14:paraId="02A194BF">
      <w:pPr>
        <w:pStyle w:val="2"/>
        <w:numPr>
          <w:ilvl w:val="0"/>
          <w:numId w:val="2"/>
        </w:numPr>
        <w:tabs>
          <w:tab w:val="left" w:pos="0"/>
        </w:tabs>
        <w:bidi w:val="0"/>
        <w:rPr>
          <w:color w:val="auto"/>
        </w:rPr>
      </w:pPr>
      <w:bookmarkStart w:id="1" w:name="_Toc4388"/>
      <w:r>
        <w:rPr>
          <w:color w:val="auto"/>
        </w:rPr>
        <w:t>编制目的</w:t>
      </w:r>
      <w:bookmarkEnd w:id="1"/>
    </w:p>
    <w:p w14:paraId="1C688975">
      <w:pPr>
        <w:keepNext w:val="0"/>
        <w:keepLines w:val="0"/>
        <w:pageBreakBefore w:val="0"/>
        <w:widowControl w:val="0"/>
        <w:kinsoku/>
        <w:wordWrap/>
        <w:overflowPunct/>
        <w:topLinePunct w:val="0"/>
        <w:autoSpaceDE/>
        <w:autoSpaceDN/>
        <w:bidi w:val="0"/>
        <w:textAlignment w:val="auto"/>
        <w:rPr>
          <w:color w:val="auto"/>
        </w:rPr>
      </w:pPr>
      <w:r>
        <w:rPr>
          <w:rFonts w:hint="eastAsia"/>
          <w:color w:val="auto"/>
        </w:rPr>
        <w:t>为深入贯彻党中央、国务院关于完整居住社区建设决策部署，落实住房和城乡建设部《完整居住社区建设指南》《完整居住社区建设标准（试行）》及《河南省完整社区建设指引》要求，聚焦社区基础设施适老化不足、养老服务供给短缺、公共空间适配性欠缺等关键问题，以完整社区建设为抓手，明确适老化</w:t>
      </w:r>
      <w:r>
        <w:rPr>
          <w:rFonts w:hint="eastAsia"/>
          <w:color w:val="auto"/>
          <w:lang w:val="en-US" w:eastAsia="zh-CN"/>
        </w:rPr>
        <w:t>改造</w:t>
      </w:r>
      <w:r>
        <w:rPr>
          <w:rFonts w:hint="eastAsia"/>
          <w:color w:val="auto"/>
        </w:rPr>
        <w:t>的技术路径、设施标准与服务规范，系统推进城镇社区居住环境、出行设施、服务体系、数字应用等全方位改造升级，构建“硬件适配、服务精准、文化包容、智慧赋能”的老年友好型社区生态，切实提升老年人的居住安全感、生活便利度与精神幸福感，助力实现“老有所养、老有所医、老有所为、老有所乐”的美好愿景。</w:t>
      </w:r>
    </w:p>
    <w:p w14:paraId="03098056">
      <w:pPr>
        <w:pStyle w:val="2"/>
        <w:keepNext w:val="0"/>
        <w:keepLines w:val="0"/>
        <w:pageBreakBefore w:val="0"/>
        <w:widowControl w:val="0"/>
        <w:numPr>
          <w:ilvl w:val="0"/>
          <w:numId w:val="2"/>
        </w:numPr>
        <w:tabs>
          <w:tab w:val="left" w:pos="0"/>
        </w:tabs>
        <w:kinsoku/>
        <w:wordWrap/>
        <w:overflowPunct/>
        <w:topLinePunct w:val="0"/>
        <w:autoSpaceDE/>
        <w:autoSpaceDN/>
        <w:bidi w:val="0"/>
        <w:textAlignment w:val="auto"/>
        <w:rPr>
          <w:color w:val="auto"/>
        </w:rPr>
      </w:pPr>
      <w:bookmarkStart w:id="2" w:name="_Toc12425"/>
      <w:r>
        <w:rPr>
          <w:color w:val="auto"/>
        </w:rPr>
        <w:t>适用范围</w:t>
      </w:r>
      <w:bookmarkEnd w:id="2"/>
    </w:p>
    <w:p w14:paraId="1E88BACA">
      <w:pPr>
        <w:keepNext w:val="0"/>
        <w:keepLines w:val="0"/>
        <w:pageBreakBefore w:val="0"/>
        <w:widowControl w:val="0"/>
        <w:kinsoku/>
        <w:wordWrap/>
        <w:overflowPunct/>
        <w:topLinePunct w:val="0"/>
        <w:autoSpaceDE/>
        <w:autoSpaceDN/>
        <w:bidi w:val="0"/>
        <w:textAlignment w:val="auto"/>
        <w:rPr>
          <w:color w:val="auto"/>
        </w:rPr>
      </w:pPr>
      <w:r>
        <w:rPr>
          <w:rFonts w:hint="eastAsia"/>
          <w:color w:val="auto"/>
        </w:rPr>
        <w:t>本导则适用于河南省县级及以上城市社区</w:t>
      </w:r>
      <w:r>
        <w:rPr>
          <w:rFonts w:hint="eastAsia"/>
          <w:color w:val="auto"/>
          <w:lang w:eastAsia="zh-CN"/>
        </w:rPr>
        <w:t>的</w:t>
      </w:r>
      <w:r>
        <w:rPr>
          <w:rFonts w:hint="eastAsia"/>
          <w:color w:val="auto"/>
          <w:lang w:val="en-US" w:eastAsia="zh-CN"/>
        </w:rPr>
        <w:t>适老化</w:t>
      </w:r>
      <w:r>
        <w:rPr>
          <w:rFonts w:hint="eastAsia"/>
          <w:color w:val="auto"/>
        </w:rPr>
        <w:t>改造，</w:t>
      </w:r>
      <w:r>
        <w:rPr>
          <w:rFonts w:hint="eastAsia"/>
          <w:color w:val="auto"/>
          <w:lang w:val="en-US" w:eastAsia="zh-CN"/>
        </w:rPr>
        <w:t>乡镇和农村地区可参照执行</w:t>
      </w:r>
      <w:r>
        <w:rPr>
          <w:rFonts w:hint="eastAsia"/>
          <w:color w:val="auto"/>
        </w:rPr>
        <w:t>。</w:t>
      </w:r>
    </w:p>
    <w:p w14:paraId="112EA2D0">
      <w:pPr>
        <w:pStyle w:val="2"/>
        <w:keepNext w:val="0"/>
        <w:keepLines w:val="0"/>
        <w:pageBreakBefore w:val="0"/>
        <w:widowControl w:val="0"/>
        <w:numPr>
          <w:ilvl w:val="0"/>
          <w:numId w:val="2"/>
        </w:numPr>
        <w:tabs>
          <w:tab w:val="left" w:pos="0"/>
        </w:tabs>
        <w:kinsoku/>
        <w:wordWrap/>
        <w:overflowPunct/>
        <w:topLinePunct w:val="0"/>
        <w:autoSpaceDE/>
        <w:autoSpaceDN/>
        <w:bidi w:val="0"/>
        <w:textAlignment w:val="auto"/>
        <w:rPr>
          <w:rFonts w:hint="default"/>
          <w:color w:val="auto"/>
          <w:lang w:val="en-US" w:eastAsia="zh-CN"/>
        </w:rPr>
      </w:pPr>
      <w:bookmarkStart w:id="3" w:name="_Toc32670"/>
      <w:r>
        <w:rPr>
          <w:rFonts w:hint="eastAsia"/>
          <w:color w:val="auto"/>
          <w:lang w:val="en-US" w:eastAsia="zh-CN"/>
        </w:rPr>
        <w:t>改造原则</w:t>
      </w:r>
      <w:bookmarkEnd w:id="3"/>
    </w:p>
    <w:p w14:paraId="14B7FBFB">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b/>
          <w:bCs/>
          <w:color w:val="auto"/>
          <w:lang w:val="en-US" w:eastAsia="zh-CN"/>
        </w:rPr>
        <w:t>安全优先、适老适配：</w:t>
      </w:r>
      <w:r>
        <w:rPr>
          <w:rFonts w:hint="default"/>
          <w:color w:val="auto"/>
          <w:lang w:val="en-US" w:eastAsia="zh-CN"/>
        </w:rPr>
        <w:t>聚焦消除社区安全隐患，优先解决跌倒、碰撞、无障碍通行、应急救援等高频安全问题。</w:t>
      </w:r>
    </w:p>
    <w:p w14:paraId="09856B77">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b/>
          <w:bCs/>
          <w:color w:val="auto"/>
          <w:lang w:val="en-US" w:eastAsia="zh-CN"/>
        </w:rPr>
        <w:t>因地制宜、分类施策：</w:t>
      </w:r>
      <w:r>
        <w:rPr>
          <w:rFonts w:hint="default"/>
          <w:color w:val="auto"/>
          <w:lang w:val="en-US" w:eastAsia="zh-CN"/>
        </w:rPr>
        <w:t>立足社区建设年代、人口结构与</w:t>
      </w:r>
      <w:r>
        <w:rPr>
          <w:rFonts w:hint="eastAsia"/>
          <w:color w:val="auto"/>
          <w:lang w:val="en-US" w:eastAsia="zh-CN"/>
        </w:rPr>
        <w:t>服务</w:t>
      </w:r>
      <w:r>
        <w:rPr>
          <w:rFonts w:hint="default"/>
          <w:color w:val="auto"/>
          <w:lang w:val="en-US" w:eastAsia="zh-CN"/>
        </w:rPr>
        <w:t>设施现状，按需分类制定改造方案，精准推进适老化</w:t>
      </w:r>
      <w:r>
        <w:rPr>
          <w:rFonts w:hint="eastAsia"/>
          <w:color w:val="auto"/>
          <w:lang w:val="en-US" w:eastAsia="zh-CN"/>
        </w:rPr>
        <w:t>改造</w:t>
      </w:r>
      <w:r>
        <w:rPr>
          <w:rFonts w:hint="default"/>
          <w:color w:val="auto"/>
          <w:lang w:val="en-US" w:eastAsia="zh-CN"/>
        </w:rPr>
        <w:t>工作。</w:t>
      </w:r>
    </w:p>
    <w:p w14:paraId="5279CA91">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b/>
          <w:bCs/>
          <w:color w:val="auto"/>
          <w:lang w:val="en-US" w:eastAsia="zh-CN"/>
        </w:rPr>
        <w:t>系统集成、全域统筹：</w:t>
      </w:r>
      <w:r>
        <w:rPr>
          <w:rFonts w:hint="default"/>
          <w:color w:val="auto"/>
          <w:lang w:val="en-US" w:eastAsia="zh-CN"/>
        </w:rPr>
        <w:t>统筹衔接完整社区建设、老旧小区改造与15分钟生活圈打造，一体化推进社区适老化</w:t>
      </w:r>
      <w:r>
        <w:rPr>
          <w:rFonts w:hint="eastAsia"/>
          <w:color w:val="auto"/>
          <w:lang w:val="en-US" w:eastAsia="zh-CN"/>
        </w:rPr>
        <w:t>改造</w:t>
      </w:r>
      <w:r>
        <w:rPr>
          <w:rFonts w:hint="default"/>
          <w:color w:val="auto"/>
          <w:lang w:val="en-US" w:eastAsia="zh-CN"/>
        </w:rPr>
        <w:t>。</w:t>
      </w:r>
    </w:p>
    <w:p w14:paraId="5E011916">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b/>
          <w:bCs/>
          <w:color w:val="auto"/>
          <w:lang w:val="en-US" w:eastAsia="zh-CN"/>
        </w:rPr>
        <w:t>绿色低碳、文化传承：</w:t>
      </w:r>
      <w:r>
        <w:rPr>
          <w:rFonts w:hint="default"/>
          <w:color w:val="auto"/>
          <w:lang w:val="en-US" w:eastAsia="zh-CN"/>
        </w:rPr>
        <w:t>践行绿色改造理念，保护社区历史风貌与文化记忆，增强老年人的居住归属感与幸福感。</w:t>
      </w:r>
    </w:p>
    <w:p w14:paraId="49CE731A">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b/>
          <w:bCs/>
          <w:color w:val="auto"/>
          <w:lang w:val="en-US" w:eastAsia="zh-CN"/>
        </w:rPr>
        <w:t>共建共享、长效运维：</w:t>
      </w:r>
      <w:r>
        <w:rPr>
          <w:rFonts w:hint="default"/>
          <w:color w:val="auto"/>
          <w:lang w:val="en-US" w:eastAsia="zh-CN"/>
        </w:rPr>
        <w:t>构建政府引导、社会参与、居民自治的协同推进机制，同步建立设施运维、服务供给、智慧管理的长效保障体系。</w:t>
      </w:r>
    </w:p>
    <w:p w14:paraId="739DB7B7">
      <w:pPr>
        <w:pStyle w:val="2"/>
        <w:keepNext w:val="0"/>
        <w:keepLines w:val="0"/>
        <w:pageBreakBefore w:val="0"/>
        <w:widowControl w:val="0"/>
        <w:numPr>
          <w:ilvl w:val="0"/>
          <w:numId w:val="2"/>
        </w:numPr>
        <w:tabs>
          <w:tab w:val="left" w:pos="0"/>
        </w:tabs>
        <w:kinsoku/>
        <w:wordWrap/>
        <w:overflowPunct/>
        <w:topLinePunct w:val="0"/>
        <w:autoSpaceDE/>
        <w:autoSpaceDN/>
        <w:bidi w:val="0"/>
        <w:textAlignment w:val="auto"/>
        <w:rPr>
          <w:rFonts w:hint="eastAsia"/>
          <w:color w:val="auto"/>
        </w:rPr>
      </w:pPr>
      <w:bookmarkStart w:id="4" w:name="_Toc15490"/>
      <w:r>
        <w:rPr>
          <w:rFonts w:hint="eastAsia"/>
          <w:color w:val="auto"/>
          <w:lang w:val="en-US" w:eastAsia="zh-CN"/>
        </w:rPr>
        <w:t>改造内容</w:t>
      </w:r>
      <w:bookmarkEnd w:id="4"/>
    </w:p>
    <w:p w14:paraId="7EE1E9A3">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rPr>
      </w:pPr>
      <w:bookmarkStart w:id="5" w:name="_Toc12697"/>
      <w:r>
        <w:rPr>
          <w:rFonts w:hint="eastAsia"/>
          <w:color w:val="auto"/>
        </w:rPr>
        <w:t>住宅建筑适老化</w:t>
      </w:r>
      <w:r>
        <w:rPr>
          <w:rFonts w:hint="eastAsia"/>
          <w:color w:val="auto"/>
          <w:lang w:val="en-US" w:eastAsia="zh-CN"/>
        </w:rPr>
        <w:t>改造</w:t>
      </w:r>
      <w:bookmarkEnd w:id="5"/>
    </w:p>
    <w:p w14:paraId="31ACBC30">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楼栋公共区域</w:t>
      </w:r>
    </w:p>
    <w:p w14:paraId="33964B44">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.1.1</w:t>
      </w:r>
      <w:r>
        <w:rPr>
          <w:rFonts w:hint="eastAsia"/>
          <w:color w:val="auto"/>
          <w:lang w:val="en-US" w:eastAsia="zh-CN"/>
        </w:rPr>
        <w:t>.1</w:t>
      </w:r>
      <w:r>
        <w:rPr>
          <w:rFonts w:hint="eastAsia"/>
          <w:color w:val="auto"/>
        </w:rPr>
        <w:t xml:space="preserve"> </w:t>
      </w:r>
      <w:r>
        <w:rPr>
          <w:rFonts w:hint="eastAsia"/>
          <w:color w:val="auto"/>
          <w:lang w:val="en-US" w:eastAsia="zh-CN"/>
        </w:rPr>
        <w:t>楼栋公共区域</w:t>
      </w:r>
      <w:r>
        <w:rPr>
          <w:rFonts w:hint="eastAsia"/>
          <w:color w:val="auto"/>
        </w:rPr>
        <w:t>包括建筑主要出入口、门厅、候梯厅、公共走廊、楼梯间、电梯，以及可供利用的底层架空层、半室外灰空间等。</w:t>
      </w:r>
    </w:p>
    <w:p w14:paraId="64949BC7">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w:t>
      </w:r>
      <w:r>
        <w:rPr>
          <w:rFonts w:hint="eastAsia"/>
          <w:color w:val="auto"/>
        </w:rPr>
        <w:t>.1.1</w:t>
      </w:r>
      <w:r>
        <w:rPr>
          <w:rFonts w:hint="eastAsia"/>
          <w:color w:val="auto"/>
          <w:lang w:val="en-US" w:eastAsia="zh-CN"/>
        </w:rPr>
        <w:t>.2改造应系统性满足无障碍通行、应急疏散、安全防护、交往支持与信息可达等复合需求，营造安全、便利、友好的公共环境。</w:t>
      </w:r>
    </w:p>
    <w:p w14:paraId="30CBE4FE">
      <w:pPr>
        <w:keepNext w:val="0"/>
        <w:keepLines w:val="0"/>
        <w:pageBreakBefore w:val="0"/>
        <w:widowControl w:val="0"/>
        <w:kinsoku/>
        <w:wordWrap/>
        <w:overflowPunct/>
        <w:topLinePunct w:val="0"/>
        <w:autoSpaceDE/>
        <w:autoSpaceDN/>
        <w:bidi w:val="0"/>
        <w:adjustRightInd w:val="0"/>
        <w:snapToGrid w:val="0"/>
        <w:textAlignment w:val="auto"/>
        <w:rPr>
          <w:rFonts w:hint="eastAsia"/>
          <w:color w:val="auto"/>
          <w:lang w:val="en-US" w:eastAsia="zh-CN"/>
        </w:rPr>
      </w:pPr>
      <w:r>
        <w:rPr>
          <w:rFonts w:hint="eastAsia"/>
          <w:color w:val="auto"/>
          <w:lang w:val="en-US" w:eastAsia="zh-CN"/>
        </w:rPr>
        <w:t>4.1.1.3 公共空间应形成连续、顺畅、无明显高差障碍的通行路径。当存在高差时，必须设置符合规范的无障碍坡道或采用无障碍升降平台。</w:t>
      </w:r>
    </w:p>
    <w:p w14:paraId="2425C598">
      <w:pPr>
        <w:keepNext w:val="0"/>
        <w:keepLines w:val="0"/>
        <w:pageBreakBefore w:val="0"/>
        <w:widowControl w:val="0"/>
        <w:suppressLineNumbers w:val="0"/>
        <w:kinsoku/>
        <w:wordWrap/>
        <w:overflowPunct/>
        <w:topLinePunct w:val="0"/>
        <w:autoSpaceDE/>
        <w:autoSpaceDN/>
        <w:bidi w:val="0"/>
        <w:adjustRightInd w:val="0"/>
        <w:snapToGrid w:val="0"/>
        <w:ind w:firstLine="640" w:firstLineChars="200"/>
        <w:jc w:val="left"/>
        <w:textAlignment w:val="auto"/>
        <w:rPr>
          <w:rFonts w:hint="eastAsia"/>
          <w:color w:val="auto"/>
          <w:lang w:val="en-US" w:eastAsia="zh-CN"/>
        </w:rPr>
      </w:pPr>
      <w:r>
        <w:rPr>
          <w:rFonts w:hint="eastAsia"/>
          <w:color w:val="auto"/>
          <w:lang w:val="en-US" w:eastAsia="zh-CN"/>
        </w:rPr>
        <w:t>4.1.1.4改造所用材料应坚固、防滑、耐磨、耐污染、易清洁。地面材料在潮湿状态下防滑等级不应低于相关规范要求，并应避免采用强反光材质。</w:t>
      </w:r>
    </w:p>
    <w:p w14:paraId="31CB2CD0">
      <w:pPr>
        <w:keepNext w:val="0"/>
        <w:keepLines w:val="0"/>
        <w:pageBreakBefore w:val="0"/>
        <w:widowControl w:val="0"/>
        <w:kinsoku/>
        <w:wordWrap/>
        <w:overflowPunct/>
        <w:topLinePunct w:val="0"/>
        <w:autoSpaceDE/>
        <w:autoSpaceDN/>
        <w:bidi w:val="0"/>
        <w:textAlignment w:val="auto"/>
        <w:rPr>
          <w:rFonts w:hint="default" w:eastAsia="仿宋_GB2312"/>
          <w:color w:val="auto"/>
          <w:lang w:val="en-US" w:eastAsia="zh-CN"/>
        </w:rPr>
      </w:pPr>
      <w:r>
        <w:rPr>
          <w:rFonts w:hint="eastAsia"/>
          <w:color w:val="auto"/>
          <w:lang w:val="en-US" w:eastAsia="zh-CN"/>
        </w:rPr>
        <w:t>4</w:t>
      </w:r>
      <w:r>
        <w:rPr>
          <w:rFonts w:hint="eastAsia"/>
          <w:color w:val="auto"/>
        </w:rPr>
        <w:t>.1.</w:t>
      </w:r>
      <w:r>
        <w:rPr>
          <w:rFonts w:hint="eastAsia"/>
          <w:color w:val="auto"/>
          <w:lang w:val="en-US" w:eastAsia="zh-CN"/>
        </w:rPr>
        <w:t>1.5</w:t>
      </w:r>
      <w:r>
        <w:rPr>
          <w:rFonts w:hint="eastAsia"/>
          <w:color w:val="auto"/>
        </w:rPr>
        <w:t xml:space="preserve"> 建筑出入口与门厅</w:t>
      </w:r>
      <w:r>
        <w:rPr>
          <w:rFonts w:hint="eastAsia"/>
          <w:color w:val="auto"/>
          <w:lang w:val="en-US" w:eastAsia="zh-CN"/>
        </w:rPr>
        <w:t>改造应满足下列要求：</w:t>
      </w:r>
    </w:p>
    <w:p w14:paraId="2A91D42A">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ascii="仿宋" w:hAnsi="仿宋" w:eastAsia="仿宋" w:cs="仿宋"/>
          <w:b w:val="0"/>
          <w:bCs w:val="0"/>
          <w:color w:val="auto"/>
          <w:kern w:val="0"/>
          <w:sz w:val="32"/>
          <w:szCs w:val="32"/>
          <w:lang w:val="en-US" w:eastAsia="zh-CN" w:bidi="ar"/>
        </w:rPr>
        <w:t>出入口应优先采用平坡式。出入口为台阶时应设置无障碍坡道或升降平台。</w:t>
      </w:r>
    </w:p>
    <w:p w14:paraId="42335E3C">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ascii="仿宋" w:hAnsi="仿宋" w:eastAsia="仿宋" w:cs="仿宋"/>
          <w:b w:val="0"/>
          <w:bCs w:val="0"/>
          <w:color w:val="auto"/>
          <w:kern w:val="0"/>
          <w:sz w:val="32"/>
          <w:szCs w:val="32"/>
          <w:lang w:val="en-US" w:eastAsia="zh-CN" w:bidi="ar"/>
        </w:rPr>
        <w:t>除平坡出入口外，无障碍出入口的门前应设置平台；在门完全开启的状态下，平台的净深度不应小于1.50m；无障碍出入口上方应设雨篷，雨篷出挑深度应能有效遮蔽，并应采用有组织排水。</w:t>
      </w:r>
    </w:p>
    <w:p w14:paraId="0CD30833">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ascii="仿宋" w:hAnsi="仿宋" w:eastAsia="仿宋" w:cs="仿宋"/>
          <w:b w:val="0"/>
          <w:bCs w:val="0"/>
          <w:color w:val="auto"/>
          <w:kern w:val="0"/>
          <w:sz w:val="32"/>
          <w:szCs w:val="32"/>
          <w:lang w:val="en-US" w:eastAsia="zh-CN" w:bidi="ar"/>
        </w:rPr>
        <w:t>设置出入口闸机时，至少有一台开启后的通行净宽不应小于900mm，或者在紧邻闸机处设置供乘轮椅者通行的出入口，通行净宽不应小于900mm。</w:t>
      </w:r>
    </w:p>
    <w:p w14:paraId="42B6E4B4">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出入口单元门及雨篷处应设置明显的标牌指示及灯光照明。</w:t>
      </w:r>
    </w:p>
    <w:p w14:paraId="0901A281">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门的设计应便于开启与通行，</w:t>
      </w:r>
      <w:r>
        <w:rPr>
          <w:rFonts w:hint="eastAsia" w:ascii="仿宋" w:hAnsi="仿宋" w:eastAsia="仿宋" w:cs="仿宋"/>
          <w:b w:val="0"/>
          <w:bCs w:val="0"/>
          <w:color w:val="auto"/>
          <w:kern w:val="0"/>
          <w:sz w:val="32"/>
          <w:szCs w:val="32"/>
          <w:lang w:val="en-US" w:eastAsia="zh-CN" w:bidi="ar"/>
        </w:rPr>
        <w:t>采用手动平开门时，门扇开启后的通行净宽不应小于800mm，门把手一侧的墙面应留出不少于400mm的缓冲空间。平开门的门扇外侧和里侧均应设置扶手，扶手应保证单手握拳操作，操作部分距地面高度应为0.85m～1.00m；除防火门外，门开启所需的力度不应大于25N，闭门器应带延时缓冲功能；采用自动门时，门扇开启后的通行净宽不应小于1.00m，当设置手动启闭装置时，可操作部件的中心距地面高度应为0.85m～1.00m；全玻璃门应选用安全玻璃或采取防护措施，并应采取醒目的防撞提示措施；</w:t>
      </w:r>
      <w:r>
        <w:rPr>
          <w:rFonts w:hint="default" w:ascii="仿宋" w:hAnsi="仿宋" w:eastAsia="仿宋" w:cs="仿宋"/>
          <w:b w:val="0"/>
          <w:bCs w:val="0"/>
          <w:color w:val="auto"/>
          <w:kern w:val="0"/>
          <w:sz w:val="32"/>
          <w:szCs w:val="32"/>
          <w:lang w:val="en-US" w:eastAsia="zh-CN" w:bidi="ar"/>
        </w:rPr>
        <w:t>连续设置多道门时，两道门之间的距离除去门扇摆动的空间后的净间距不应小于1.50m</w:t>
      </w:r>
      <w:r>
        <w:rPr>
          <w:rFonts w:hint="eastAsia"/>
          <w:color w:val="auto"/>
        </w:rPr>
        <w:t>。</w:t>
      </w:r>
    </w:p>
    <w:p w14:paraId="02515AA7">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信报箱与快递设施宜便于各类使用者操作，前方宜预留</w:t>
      </w:r>
      <w:r>
        <w:rPr>
          <w:rFonts w:hint="eastAsia" w:ascii="仿宋" w:hAnsi="仿宋" w:eastAsia="仿宋" w:cs="仿宋"/>
          <w:b w:val="0"/>
          <w:bCs w:val="0"/>
          <w:color w:val="auto"/>
          <w:kern w:val="0"/>
          <w:sz w:val="32"/>
          <w:szCs w:val="32"/>
          <w:lang w:val="en-US" w:eastAsia="zh-CN" w:bidi="ar"/>
        </w:rPr>
        <w:t>1.50m的轮椅回转空间</w:t>
      </w:r>
      <w:r>
        <w:rPr>
          <w:rFonts w:hint="eastAsia"/>
          <w:color w:val="auto"/>
        </w:rPr>
        <w:t>，并宜提供充足照明。</w:t>
      </w:r>
    </w:p>
    <w:p w14:paraId="745EE4DD">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门厅宜设置休息座椅与临时置物台面。照明应充足均匀，避免眩光，夜间应保留常明指引灯。公告标识应醒目易懂，字体宜大。</w:t>
      </w:r>
    </w:p>
    <w:p w14:paraId="6C5E7B89">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1.</w:t>
      </w:r>
      <w:r>
        <w:rPr>
          <w:rFonts w:hint="eastAsia"/>
          <w:color w:val="auto"/>
          <w:lang w:val="en-US" w:eastAsia="zh-CN"/>
        </w:rPr>
        <w:t>6</w:t>
      </w:r>
      <w:r>
        <w:rPr>
          <w:rFonts w:hint="eastAsia"/>
          <w:color w:val="auto"/>
        </w:rPr>
        <w:t xml:space="preserve"> 公共走廊、楼梯与台阶</w:t>
      </w:r>
      <w:r>
        <w:rPr>
          <w:rFonts w:hint="eastAsia"/>
          <w:color w:val="auto"/>
          <w:lang w:val="en-US" w:eastAsia="zh-CN"/>
        </w:rPr>
        <w:t>改造</w:t>
      </w:r>
      <w:r>
        <w:rPr>
          <w:rFonts w:hint="eastAsia"/>
          <w:color w:val="auto"/>
        </w:rPr>
        <w:t>应满足下列要求：</w:t>
      </w:r>
    </w:p>
    <w:p w14:paraId="119502E9">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三级及三级以上的台阶和楼梯应在两侧设置扶手。</w:t>
      </w:r>
    </w:p>
    <w:p w14:paraId="5F87E095">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满足无障碍要求的单层扶手的高度应为850mm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900mm；设置双层扶手时，上层扶手高度应为850mm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900mm，下层扶手高度应为650mm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700mm。</w:t>
      </w:r>
    </w:p>
    <w:p w14:paraId="6F4B1F34">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楼梯和台阶、轮椅坡道的扶手起点和终点处应水平延伸，延伸长度不应小于300mm；扶手末端应向墙面或向下延伸，延伸长度不应小于100mm。</w:t>
      </w:r>
    </w:p>
    <w:p w14:paraId="15388913">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default"/>
          <w:color w:val="auto"/>
          <w:lang w:val="en-US" w:eastAsia="zh-CN"/>
        </w:rPr>
        <w:t>扶手应固定且安装牢固，形状和截面尺寸应易于抓握，截面的内侧边缘与墙面的净距离不应小于40mm</w:t>
      </w:r>
      <w:r>
        <w:rPr>
          <w:rFonts w:hint="eastAsia"/>
          <w:color w:val="auto"/>
          <w:lang w:val="en-US" w:eastAsia="zh-CN"/>
        </w:rPr>
        <w:t>。</w:t>
      </w:r>
      <w:r>
        <w:rPr>
          <w:rFonts w:hint="default"/>
          <w:color w:val="auto"/>
          <w:lang w:val="en-US" w:eastAsia="zh-CN"/>
        </w:rPr>
        <w:t>扶手应与背景有明显的颜色或亮度对比。</w:t>
      </w:r>
    </w:p>
    <w:p w14:paraId="16A6EE14">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踏面应进行防滑处理，踏面前缘宜设置色彩对比鲜明的防滑警示条。踏步防滑条、警示条等附着物均不应突出踏面。</w:t>
      </w:r>
    </w:p>
    <w:p w14:paraId="61451E82">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楼梯上行及下行起步的第一级台阶，其踏面颜色应与平台有显著差异。</w:t>
      </w:r>
    </w:p>
    <w:p w14:paraId="71DC128B">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梯段照明应充足，避免在踏步上产生浓重阴影。宜在扶手底部或踢脚线位置设置低位柔和指引灯。</w:t>
      </w:r>
    </w:p>
    <w:p w14:paraId="341C74E2">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4.1</w:t>
      </w:r>
      <w:r>
        <w:rPr>
          <w:rFonts w:hint="eastAsia"/>
          <w:color w:val="auto"/>
        </w:rPr>
        <w:t>.1.</w:t>
      </w:r>
      <w:r>
        <w:rPr>
          <w:rFonts w:hint="eastAsia"/>
          <w:color w:val="auto"/>
          <w:lang w:val="en-US" w:eastAsia="zh-CN"/>
        </w:rPr>
        <w:t>7</w:t>
      </w:r>
      <w:r>
        <w:rPr>
          <w:rFonts w:hint="eastAsia"/>
          <w:color w:val="auto"/>
        </w:rPr>
        <w:t xml:space="preserve"> </w:t>
      </w:r>
      <w:r>
        <w:rPr>
          <w:rFonts w:hint="eastAsia"/>
          <w:color w:val="auto"/>
          <w:lang w:eastAsia="zh-CN"/>
        </w:rPr>
        <w:t>加装</w:t>
      </w:r>
      <w:r>
        <w:rPr>
          <w:rFonts w:hint="eastAsia"/>
          <w:color w:val="auto"/>
        </w:rPr>
        <w:t>电梯应</w:t>
      </w:r>
      <w:r>
        <w:rPr>
          <w:rFonts w:hint="eastAsia"/>
          <w:color w:val="auto"/>
          <w:lang w:val="en-US" w:eastAsia="zh-CN"/>
        </w:rPr>
        <w:t>满足下列要求</w:t>
      </w:r>
      <w:r>
        <w:rPr>
          <w:rFonts w:hint="eastAsia"/>
          <w:color w:val="auto"/>
        </w:rPr>
        <w:t>：</w:t>
      </w:r>
    </w:p>
    <w:p w14:paraId="29E804CA">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电加装电梯前，必须对原房屋进行专项检测和鉴定，并做专项评估。</w:t>
      </w:r>
    </w:p>
    <w:p w14:paraId="3B6C786C">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加装电梯应符合当地退让间距规定，且加装后与周边建筑的防火间距必须符合国家强制性标准。</w:t>
      </w:r>
    </w:p>
    <w:p w14:paraId="33FBDE0C">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应合理规划，减少对周边建筑、环境、道路及管线设施的不利影响，并对受影响设施采取必要的迁移或改造措施。</w:t>
      </w:r>
    </w:p>
    <w:p w14:paraId="46451662">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加装电梯后，居住区内道路必须满足消防、救护、搬家等车辆的通行要求。</w:t>
      </w:r>
    </w:p>
    <w:p w14:paraId="0FC334AC">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加装电梯的主体结构应采用与原建筑相同的抗震设防标准。当与原建筑固定连接时，必须考虑其对整体结构的影响，必要时对原结构进行加固。</w:t>
      </w:r>
    </w:p>
    <w:p w14:paraId="3F68A83D">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对既有地下及室外管线进行改造时，应征得相关部门同意，并进行统一设计和施工。</w:t>
      </w:r>
    </w:p>
    <w:p w14:paraId="0DC5690B">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加装电梯的耐火等级应与原住宅一致，且不应低于二级。电梯与原有建筑的非居住部分之间，应采用耐火极限不低于2.00小时的防火隔墙和1.50小时的不燃性楼板完全分隔。</w:t>
      </w:r>
    </w:p>
    <w:p w14:paraId="05E00351">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电梯电源负荷等级应与改造后建筑的最高等级相同，并宜配置应急电源，以保证断电情况下可实现自动平层，保障人员安全。</w:t>
      </w:r>
    </w:p>
    <w:p w14:paraId="6D84FCBE">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居家适老化改造</w:t>
      </w:r>
    </w:p>
    <w:p w14:paraId="43D60C4B">
      <w:pPr>
        <w:keepNext w:val="0"/>
        <w:keepLines w:val="0"/>
        <w:pageBreakBefore w:val="0"/>
        <w:widowControl w:val="0"/>
        <w:kinsoku/>
        <w:wordWrap/>
        <w:overflowPunct/>
        <w:topLinePunct w:val="0"/>
        <w:autoSpaceDE/>
        <w:autoSpaceDN/>
        <w:bidi w:val="0"/>
        <w:textAlignment w:val="auto"/>
        <w:rPr>
          <w:rFonts w:hint="eastAsia" w:ascii="仿宋" w:hAnsi="仿宋" w:eastAsia="仿宋" w:cs="仿宋"/>
          <w:b w:val="0"/>
          <w:bCs w:val="0"/>
          <w:color w:val="auto"/>
          <w:sz w:val="32"/>
          <w:szCs w:val="32"/>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2.1</w:t>
      </w:r>
      <w:r>
        <w:rPr>
          <w:rFonts w:hint="eastAsia"/>
          <w:color w:val="auto"/>
          <w:lang w:val="en-US" w:eastAsia="zh-CN"/>
        </w:rPr>
        <w:t xml:space="preserve"> </w:t>
      </w:r>
      <w:r>
        <w:rPr>
          <w:rFonts w:hint="eastAsia"/>
          <w:color w:val="auto"/>
        </w:rPr>
        <w:t>居家适老化</w:t>
      </w:r>
      <w:r>
        <w:rPr>
          <w:rFonts w:hint="eastAsia" w:ascii="仿宋" w:hAnsi="仿宋" w:eastAsia="仿宋" w:cs="仿宋"/>
          <w:b w:val="0"/>
          <w:bCs w:val="0"/>
          <w:color w:val="auto"/>
          <w:sz w:val="32"/>
          <w:szCs w:val="32"/>
          <w:lang w:val="en-US" w:eastAsia="zh-CN"/>
        </w:rPr>
        <w:t>改造主要包括入户过渡空间、起居室、卧室、卫生间、厨房、阳台。</w:t>
      </w:r>
    </w:p>
    <w:p w14:paraId="4C335686">
      <w:pPr>
        <w:keepNext w:val="0"/>
        <w:keepLines w:val="0"/>
        <w:pageBreakBefore w:val="0"/>
        <w:widowControl w:val="0"/>
        <w:kinsoku/>
        <w:wordWrap/>
        <w:overflowPunct/>
        <w:topLinePunct w:val="0"/>
        <w:autoSpaceDE/>
        <w:autoSpaceDN/>
        <w:bidi w:val="0"/>
        <w:textAlignment w:val="auto"/>
        <w:rPr>
          <w:rFonts w:hint="eastAsia" w:ascii="仿宋" w:hAnsi="仿宋" w:eastAsia="仿宋" w:cs="仿宋"/>
          <w:b w:val="0"/>
          <w:bCs w:val="0"/>
          <w:color w:val="auto"/>
          <w:sz w:val="32"/>
          <w:szCs w:val="32"/>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2 </w:t>
      </w:r>
      <w:r>
        <w:rPr>
          <w:rFonts w:hint="eastAsia" w:ascii="仿宋" w:hAnsi="仿宋" w:eastAsia="仿宋" w:cs="仿宋"/>
          <w:b w:val="0"/>
          <w:bCs w:val="0"/>
          <w:color w:val="auto"/>
          <w:sz w:val="32"/>
          <w:szCs w:val="32"/>
          <w:lang w:val="en-US" w:eastAsia="zh-CN"/>
        </w:rPr>
        <w:t>改造应充分考虑老年人的生理、心理特征及行为模式，兼顾自理老人、介助老人（使用助行器）和介护老人（需使用轮椅或他人护理）的不同需求，并预留未来身体机能变化后的改造弹性。</w:t>
      </w:r>
    </w:p>
    <w:p w14:paraId="0BD384DF">
      <w:pPr>
        <w:keepNext w:val="0"/>
        <w:keepLines w:val="0"/>
        <w:pageBreakBefore w:val="0"/>
        <w:widowControl w:val="0"/>
        <w:kinsoku/>
        <w:wordWrap/>
        <w:overflowPunct/>
        <w:topLinePunct w:val="0"/>
        <w:autoSpaceDE/>
        <w:autoSpaceDN/>
        <w:bidi w:val="0"/>
        <w:textAlignment w:val="auto"/>
        <w:rPr>
          <w:rFonts w:hint="eastAsia" w:ascii="仿宋" w:hAnsi="仿宋" w:eastAsia="仿宋" w:cs="仿宋"/>
          <w:b w:val="0"/>
          <w:bCs w:val="0"/>
          <w:color w:val="auto"/>
          <w:sz w:val="32"/>
          <w:szCs w:val="32"/>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3 </w:t>
      </w:r>
      <w:r>
        <w:rPr>
          <w:rFonts w:hint="eastAsia" w:ascii="仿宋" w:hAnsi="仿宋" w:eastAsia="仿宋" w:cs="仿宋"/>
          <w:b w:val="0"/>
          <w:bCs w:val="0"/>
          <w:color w:val="auto"/>
          <w:sz w:val="32"/>
          <w:szCs w:val="32"/>
          <w:lang w:val="en-US" w:eastAsia="zh-CN"/>
        </w:rPr>
        <w:t>改造不得降低原建筑结构的安全性、防火等级及防水要求。所有材料、部品及施工工艺应符合国家现行相关强制性标准的规定。</w:t>
      </w:r>
    </w:p>
    <w:p w14:paraId="428CA169">
      <w:pPr>
        <w:keepNext w:val="0"/>
        <w:keepLines w:val="0"/>
        <w:pageBreakBefore w:val="0"/>
        <w:widowControl w:val="0"/>
        <w:kinsoku/>
        <w:wordWrap/>
        <w:overflowPunct/>
        <w:topLinePunct w:val="0"/>
        <w:autoSpaceDE/>
        <w:autoSpaceDN/>
        <w:bidi w:val="0"/>
        <w:ind w:firstLine="640" w:firstLineChars="200"/>
        <w:textAlignment w:val="auto"/>
        <w:rPr>
          <w:rFonts w:hint="eastAsia" w:ascii="仿宋" w:hAnsi="仿宋" w:eastAsia="仿宋" w:cs="仿宋"/>
          <w:b w:val="0"/>
          <w:bCs w:val="0"/>
          <w:color w:val="auto"/>
          <w:sz w:val="32"/>
          <w:szCs w:val="32"/>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4 </w:t>
      </w:r>
      <w:r>
        <w:rPr>
          <w:rFonts w:hint="eastAsia" w:ascii="仿宋" w:hAnsi="仿宋" w:eastAsia="仿宋" w:cs="仿宋"/>
          <w:b w:val="0"/>
          <w:bCs w:val="0"/>
          <w:color w:val="auto"/>
          <w:sz w:val="32"/>
          <w:szCs w:val="32"/>
          <w:lang w:val="en-US" w:eastAsia="zh-CN"/>
        </w:rPr>
        <w:t>地面应平整防滑，全屋不宜设置门槛及高差。各功能空间之间应形成便捷、无障碍的循环动线。主要通行净宽不应小于800mm，轮椅回转空间直径不小于1500mm。</w:t>
      </w:r>
    </w:p>
    <w:p w14:paraId="14C191BB">
      <w:pPr>
        <w:keepNext w:val="0"/>
        <w:keepLines w:val="0"/>
        <w:pageBreakBefore w:val="0"/>
        <w:widowControl w:val="0"/>
        <w:kinsoku/>
        <w:wordWrap/>
        <w:overflowPunct/>
        <w:topLinePunct w:val="0"/>
        <w:autoSpaceDE/>
        <w:autoSpaceDN/>
        <w:bidi w:val="0"/>
        <w:ind w:firstLine="640" w:firstLineChars="200"/>
        <w:textAlignment w:val="auto"/>
        <w:rPr>
          <w:rFonts w:hint="eastAsia" w:ascii="仿宋" w:hAnsi="仿宋" w:eastAsia="仿宋" w:cs="仿宋"/>
          <w:b w:val="0"/>
          <w:bCs w:val="0"/>
          <w:color w:val="auto"/>
          <w:sz w:val="32"/>
          <w:szCs w:val="32"/>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5 </w:t>
      </w:r>
      <w:r>
        <w:rPr>
          <w:rFonts w:hint="eastAsia" w:ascii="仿宋" w:hAnsi="仿宋" w:eastAsia="仿宋" w:cs="仿宋"/>
          <w:b w:val="0"/>
          <w:bCs w:val="0"/>
          <w:color w:val="auto"/>
          <w:sz w:val="32"/>
          <w:szCs w:val="32"/>
          <w:lang w:val="en-US" w:eastAsia="zh-CN"/>
        </w:rPr>
        <w:t>所有家具、设备应安装牢固，避免锐角。橱柜、吊柜门宜采用缓冲铰链。照明系统应保证均匀、充足的照度，避免眩光。主要活动区域应设置多级照明。开关位置应明显易达。</w:t>
      </w:r>
    </w:p>
    <w:p w14:paraId="648966E8">
      <w:pPr>
        <w:keepNext w:val="0"/>
        <w:keepLines w:val="0"/>
        <w:pageBreakBefore w:val="0"/>
        <w:widowControl w:val="0"/>
        <w:kinsoku/>
        <w:wordWrap/>
        <w:overflowPunct/>
        <w:topLinePunct w:val="0"/>
        <w:autoSpaceDE/>
        <w:autoSpaceDN/>
        <w:bidi w:val="0"/>
        <w:ind w:firstLine="640" w:firstLineChars="200"/>
        <w:textAlignment w:val="auto"/>
        <w:rPr>
          <w:rFonts w:hint="eastAsia" w:ascii="仿宋" w:hAnsi="仿宋" w:eastAsia="仿宋" w:cs="仿宋"/>
          <w:b w:val="0"/>
          <w:bCs w:val="0"/>
          <w:color w:val="auto"/>
          <w:sz w:val="32"/>
          <w:szCs w:val="32"/>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6 </w:t>
      </w:r>
      <w:r>
        <w:rPr>
          <w:rFonts w:hint="eastAsia" w:ascii="仿宋" w:hAnsi="仿宋" w:eastAsia="仿宋" w:cs="仿宋"/>
          <w:b w:val="0"/>
          <w:bCs w:val="0"/>
          <w:color w:val="auto"/>
          <w:sz w:val="32"/>
          <w:szCs w:val="32"/>
          <w:lang w:val="en-US" w:eastAsia="zh-CN"/>
        </w:rPr>
        <w:t>室内门窗应易于开启，执手、开关等操作部件宜采用杠杆式、大面板或感应式，操作力不宜大于2.5N。</w:t>
      </w:r>
    </w:p>
    <w:p w14:paraId="6DB65783">
      <w:pPr>
        <w:keepNext w:val="0"/>
        <w:keepLines w:val="0"/>
        <w:pageBreakBefore w:val="0"/>
        <w:widowControl w:val="0"/>
        <w:kinsoku/>
        <w:wordWrap/>
        <w:overflowPunct/>
        <w:topLinePunct w:val="0"/>
        <w:autoSpaceDE/>
        <w:autoSpaceDN/>
        <w:bidi w:val="0"/>
        <w:textAlignment w:val="auto"/>
        <w:rPr>
          <w:rFonts w:hint="eastAsia" w:eastAsia="仿宋_GB2312"/>
          <w:color w:val="auto"/>
          <w:lang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7 </w:t>
      </w:r>
      <w:r>
        <w:rPr>
          <w:rFonts w:hint="eastAsia"/>
          <w:color w:val="auto"/>
        </w:rPr>
        <w:t>入户</w:t>
      </w:r>
      <w:r>
        <w:rPr>
          <w:rFonts w:hint="eastAsia"/>
          <w:color w:val="auto"/>
          <w:lang w:val="en-US" w:eastAsia="zh-CN"/>
        </w:rPr>
        <w:t>过渡</w:t>
      </w:r>
      <w:r>
        <w:rPr>
          <w:rFonts w:hint="eastAsia"/>
          <w:color w:val="auto"/>
        </w:rPr>
        <w:t>空间</w:t>
      </w:r>
      <w:r>
        <w:rPr>
          <w:rFonts w:hint="eastAsia"/>
          <w:color w:val="auto"/>
          <w:lang w:val="en-US" w:eastAsia="zh-CN"/>
        </w:rPr>
        <w:t>改造应</w:t>
      </w:r>
      <w:r>
        <w:rPr>
          <w:rFonts w:hint="eastAsia"/>
          <w:color w:val="auto"/>
        </w:rPr>
        <w:t>满足下列要求</w:t>
      </w:r>
      <w:r>
        <w:rPr>
          <w:rFonts w:hint="eastAsia"/>
          <w:color w:val="auto"/>
          <w:lang w:eastAsia="zh-CN"/>
        </w:rPr>
        <w:t>：</w:t>
      </w:r>
    </w:p>
    <w:p w14:paraId="1E3A408B">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入户过渡空间宜设置鞋柜兼置物台，台面高度宜距地850mm，方便老年人置物的同时可为老年人提供撑扶的位置。</w:t>
      </w:r>
    </w:p>
    <w:p w14:paraId="25D89E46">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入户过渡空间宜设置坐姿换鞋区，可设置高度450mm的换鞋凳，鞋凳应稳固，鞋凳旁宜设竖向扶手，扶手安装应牢固。</w:t>
      </w:r>
    </w:p>
    <w:p w14:paraId="29AFAF94">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户门应采用横执杆式把手，宜配备带闪光提示的门铃和智能门锁（支持指纹、密码或刷卡），开启后的通行净宽不应小于800mm。</w:t>
      </w:r>
    </w:p>
    <w:p w14:paraId="54B4D915">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入户过渡空间应满足轮椅转向空间和急救时担架进出的要求。</w:t>
      </w:r>
    </w:p>
    <w:p w14:paraId="37E6B5F7">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8 </w:t>
      </w:r>
      <w:r>
        <w:rPr>
          <w:rFonts w:hint="eastAsia"/>
          <w:color w:val="auto"/>
        </w:rPr>
        <w:t>起居室</w:t>
      </w:r>
      <w:r>
        <w:rPr>
          <w:rFonts w:hint="eastAsia"/>
          <w:color w:val="auto"/>
          <w:lang w:val="en-US" w:eastAsia="zh-CN"/>
        </w:rPr>
        <w:t>改造应</w:t>
      </w:r>
      <w:r>
        <w:rPr>
          <w:rFonts w:hint="eastAsia"/>
          <w:color w:val="auto"/>
        </w:rPr>
        <w:t>满足下列要求</w:t>
      </w:r>
      <w:r>
        <w:rPr>
          <w:rFonts w:hint="eastAsia"/>
          <w:color w:val="auto"/>
          <w:lang w:eastAsia="zh-CN"/>
        </w:rPr>
        <w:t>：</w:t>
      </w:r>
    </w:p>
    <w:p w14:paraId="4BDCE873">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沙发、座椅应稳固，座面不宜过软，高度在450mm左右，并带有扶手，便于起坐。</w:t>
      </w:r>
    </w:p>
    <w:p w14:paraId="5D50FAB6">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家具摆放应稳固，边缘圆滑，确保通行动线流畅、无遮挡。茶几与沙发之间距离应便于轮椅接近。</w:t>
      </w:r>
    </w:p>
    <w:p w14:paraId="5EDB4560">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电视、空调等电器遥控器宜整合为易于操作的大按键万能遥控器或语音控制。</w:t>
      </w:r>
    </w:p>
    <w:p w14:paraId="5C70A12D">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9 </w:t>
      </w:r>
      <w:r>
        <w:rPr>
          <w:rFonts w:hint="eastAsia"/>
          <w:color w:val="auto"/>
        </w:rPr>
        <w:t>卧室</w:t>
      </w:r>
      <w:r>
        <w:rPr>
          <w:rFonts w:hint="eastAsia"/>
          <w:color w:val="auto"/>
          <w:lang w:val="en-US" w:eastAsia="zh-CN"/>
        </w:rPr>
        <w:t>改造应满足下列要求：</w:t>
      </w:r>
    </w:p>
    <w:p w14:paraId="63850A62">
      <w:pPr>
        <w:keepNext w:val="0"/>
        <w:keepLines w:val="0"/>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ascii="仿宋" w:hAnsi="仿宋" w:eastAsia="仿宋" w:cs="仿宋"/>
          <w:b w:val="0"/>
          <w:bCs w:val="0"/>
          <w:color w:val="auto"/>
          <w:kern w:val="0"/>
          <w:sz w:val="32"/>
          <w:szCs w:val="32"/>
          <w:lang w:val="en-US" w:eastAsia="zh-CN" w:bidi="ar"/>
        </w:rPr>
        <w:t>床侧通行净宽不应小于900mm，床周边应预留护理空间。床高应与轮椅坐高相协调。</w:t>
      </w:r>
    </w:p>
    <w:p w14:paraId="402A88F9">
      <w:pPr>
        <w:keepNext w:val="0"/>
        <w:keepLines w:val="0"/>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床头应设置双控开关、紧急呼叫按钮及充足的电源插座。照明开关应具有夜光功能。</w:t>
      </w:r>
    </w:p>
    <w:p w14:paraId="43ACFC79">
      <w:pPr>
        <w:keepNext w:val="0"/>
        <w:keepLines w:val="0"/>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衣柜内部挂杆高度应可调节，抽屉宜采用导轨顺畅的款式。宜设置开放式储物格，便于存取常用物品。</w:t>
      </w:r>
    </w:p>
    <w:p w14:paraId="49A03D0A">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10 </w:t>
      </w:r>
      <w:r>
        <w:rPr>
          <w:rFonts w:hint="eastAsia"/>
          <w:color w:val="auto"/>
        </w:rPr>
        <w:t>卫生间</w:t>
      </w:r>
      <w:r>
        <w:rPr>
          <w:rFonts w:hint="eastAsia"/>
          <w:color w:val="auto"/>
          <w:lang w:val="en-US" w:eastAsia="zh-CN"/>
        </w:rPr>
        <w:t>改造应满足下列要求：</w:t>
      </w:r>
    </w:p>
    <w:p w14:paraId="15C27637">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卫生间改造应满足老年人自理如厕、盥洗、沐浴以及必要护理辅助的空间需求，并应满足无障碍通行。沐浴区宜考虑助浴条件。</w:t>
      </w:r>
    </w:p>
    <w:p w14:paraId="0A174962">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卫生间应采用能向外开启的平开门、推拉门、折叠门，且门开启后的通行净宽不宜小于800mm。卫生间门内外宜安装撑扶扶手。</w:t>
      </w:r>
    </w:p>
    <w:p w14:paraId="34B3D5F2">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卫生间宜采用干湿分离布局。湿区地面应合理组织排水，避免地面积水。不应采用突出地面的挡水条。</w:t>
      </w:r>
    </w:p>
    <w:p w14:paraId="73265FB3">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卫生间淋浴区应设置稳固的坐浴凳（可折叠或墙体翻板式）及L形安全抓杆。花洒应配备恒温阀和可调节高度的滑杆。控制淋浴的开关距地面高度应满足无障碍使用要求。</w:t>
      </w:r>
    </w:p>
    <w:p w14:paraId="3B3CE08D">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坐便器旁除L形抓杆外，前方宜设置助力扶手，便于起身。在坐便器附近应设置救助呼叫装置，并应满足坐便器上和跌倒在地面的人均能够使用。坐便器宜选配智能盖板（具备加热、清洗功能）。</w:t>
      </w:r>
    </w:p>
    <w:p w14:paraId="41BC2210">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洗手盆下方应清空，方便轮椅切入。镜子宜采用防雾镜，并可适度前倾。出水龙头应采用杠杆式水龙头或感应式自动出水方式。</w:t>
      </w:r>
    </w:p>
    <w:p w14:paraId="25A5F5EE">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11 </w:t>
      </w:r>
      <w:r>
        <w:rPr>
          <w:rFonts w:hint="eastAsia"/>
          <w:color w:val="auto"/>
        </w:rPr>
        <w:t>厨房</w:t>
      </w:r>
      <w:r>
        <w:rPr>
          <w:rFonts w:hint="eastAsia"/>
          <w:color w:val="auto"/>
          <w:lang w:val="en-US" w:eastAsia="zh-CN"/>
        </w:rPr>
        <w:t>改造应满足下列要求：</w:t>
      </w:r>
    </w:p>
    <w:p w14:paraId="5775C089">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厨房改造应满足老年人取物、清洗、操作、烹饪、储藏等基本行为的空间需求，并应满足无障碍通行。</w:t>
      </w:r>
    </w:p>
    <w:p w14:paraId="5E80D6F6">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厨房改造宜紧凑便捷，宜采用U型、L型布局。</w:t>
      </w:r>
    </w:p>
    <w:p w14:paraId="6EDF3F33">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操作台面宜可调节高度，或分区域设置不同高度，以适应站姿与坐姿操作。台下应留有容膝容脚空间。</w:t>
      </w:r>
    </w:p>
    <w:p w14:paraId="1F0CEE45">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吊柜宜采用下拉式储物篮或电动升降柜。</w:t>
      </w:r>
    </w:p>
    <w:p w14:paraId="1A85AA9D">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应配备自动断火、防干烧保护的灶具，以及油烟浓度自动监测的吸油烟机。水槽前可设置辅助升降式沥水架。</w:t>
      </w:r>
    </w:p>
    <w:p w14:paraId="0470DF1F">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厨房墙面应采用防火、防水、耐腐蚀、易清洁的墙面材料；地面应采用防滑、耐磨、耐腐蚀、易清洁的地面材料。</w:t>
      </w:r>
    </w:p>
    <w:p w14:paraId="4A898C38">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厨房门开启后的通行净宽不宜小于800mm，采用玻璃门时应采用钢化夹层安全玻璃，宜选用推拉门，采用平开门时宜向外开启。</w:t>
      </w:r>
    </w:p>
    <w:p w14:paraId="4FB86318">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eastAsia"/>
          <w:color w:val="auto"/>
          <w:lang w:val="en-US" w:eastAsia="zh-CN"/>
        </w:rPr>
        <w:t>水龙头应采用能调节水温的杠杆式水龙头。</w:t>
      </w:r>
    </w:p>
    <w:p w14:paraId="3ECBFB93">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12</w:t>
      </w:r>
      <w:r>
        <w:rPr>
          <w:rFonts w:hint="eastAsia"/>
          <w:color w:val="auto"/>
        </w:rPr>
        <w:t>阳台</w:t>
      </w:r>
      <w:r>
        <w:rPr>
          <w:rFonts w:hint="eastAsia"/>
          <w:color w:val="auto"/>
          <w:lang w:val="en-US" w:eastAsia="zh-CN"/>
        </w:rPr>
        <w:t>改造应满足下列要求：</w:t>
      </w:r>
    </w:p>
    <w:p w14:paraId="6350A397">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阳台与室内地面应无高差。晾衣架宜采用电动升降式，控制开关应设在易于操作的位置。</w:t>
      </w:r>
    </w:p>
    <w:p w14:paraId="3FAB4942">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应设置稳固的扶手，便于老年人观赏窗外景色或进行轻度活动。盆栽植物宜采用壁挂或抬升式花池，避免地面摆放。</w:t>
      </w:r>
    </w:p>
    <w:p w14:paraId="60C448EB">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13 </w:t>
      </w:r>
      <w:r>
        <w:rPr>
          <w:rFonts w:hint="eastAsia"/>
          <w:color w:val="auto"/>
        </w:rPr>
        <w:t>智能安全保障改造</w:t>
      </w:r>
      <w:r>
        <w:rPr>
          <w:rFonts w:hint="eastAsia"/>
          <w:color w:val="auto"/>
          <w:lang w:val="en-US" w:eastAsia="zh-CN"/>
        </w:rPr>
        <w:t>应满足下列要求：</w:t>
      </w:r>
    </w:p>
    <w:p w14:paraId="24EB8DFB">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在主要活动空间安装紧急呼叫按钮，支持无线联动报警，并可配备跌倒监测自动报警功能。</w:t>
      </w:r>
    </w:p>
    <w:p w14:paraId="51DC814F">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可配备智能门锁、可视门铃及烟雾、燃气、漏水等传感器，实现异常情况预警。</w:t>
      </w:r>
    </w:p>
    <w:p w14:paraId="2ED32B37">
      <w:pPr>
        <w:keepNext w:val="0"/>
        <w:keepLines w:val="0"/>
        <w:pageBreakBefore w:val="0"/>
        <w:widowControl w:val="0"/>
        <w:kinsoku/>
        <w:wordWrap/>
        <w:overflowPunct/>
        <w:topLinePunct w:val="0"/>
        <w:autoSpaceDE/>
        <w:autoSpaceDN/>
        <w:bidi w:val="0"/>
        <w:textAlignment w:val="auto"/>
        <w:rPr>
          <w:rFonts w:hint="eastAsia" w:eastAsia="仿宋_GB2312"/>
          <w:color w:val="auto"/>
          <w:lang w:eastAsia="zh-CN"/>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w:t>
      </w:r>
      <w:r>
        <w:rPr>
          <w:rFonts w:hint="eastAsia"/>
          <w:color w:val="auto"/>
          <w:lang w:val="en-US" w:eastAsia="zh-CN"/>
        </w:rPr>
        <w:t xml:space="preserve">14 </w:t>
      </w:r>
      <w:r>
        <w:rPr>
          <w:rFonts w:hint="eastAsia"/>
          <w:color w:val="auto"/>
        </w:rPr>
        <w:t>智能健康监护改造</w:t>
      </w:r>
      <w:r>
        <w:rPr>
          <w:rFonts w:hint="eastAsia"/>
          <w:color w:val="auto"/>
          <w:lang w:val="en-US" w:eastAsia="zh-CN"/>
        </w:rPr>
        <w:t>应满足下列要求：</w:t>
      </w:r>
    </w:p>
    <w:p w14:paraId="72FD430C">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rPr>
        <w:t>可考虑部署无感式生命体征监测、智能健康数据采集、用药管理及活动轨迹监测等系统，异常情况及时预警。相关数据在授权前提下可接入智慧平台，并须注意隐私保护。</w:t>
      </w:r>
    </w:p>
    <w:p w14:paraId="408CED9A">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2.1</w:t>
      </w:r>
      <w:r>
        <w:rPr>
          <w:rFonts w:hint="eastAsia"/>
          <w:color w:val="auto"/>
          <w:lang w:val="en-US" w:eastAsia="zh-CN"/>
        </w:rPr>
        <w:t xml:space="preserve">5 </w:t>
      </w:r>
      <w:r>
        <w:rPr>
          <w:rFonts w:hint="eastAsia"/>
          <w:color w:val="auto"/>
        </w:rPr>
        <w:t>智能生活便捷改造</w:t>
      </w:r>
      <w:r>
        <w:rPr>
          <w:rFonts w:hint="eastAsia"/>
          <w:color w:val="auto"/>
          <w:lang w:val="en-US" w:eastAsia="zh-CN"/>
        </w:rPr>
        <w:t>应满足下列要求：</w:t>
      </w:r>
    </w:p>
    <w:p w14:paraId="54234780">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rPr>
        <w:t>可通过语音控制家电、灯光、窗帘等。选用操作简便、显示清晰的智能家电。卫浴设备可考虑恒温、防烫、智能助起等功能。可部署环境监测与自动调节系统。</w:t>
      </w:r>
    </w:p>
    <w:p w14:paraId="6F926B8C">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w:t>
      </w:r>
      <w:r>
        <w:rPr>
          <w:rFonts w:hint="eastAsia"/>
          <w:color w:val="auto"/>
        </w:rPr>
        <w:t>.</w:t>
      </w:r>
      <w:r>
        <w:rPr>
          <w:rFonts w:hint="eastAsia"/>
          <w:color w:val="auto"/>
          <w:lang w:val="en-US" w:eastAsia="zh-CN"/>
        </w:rPr>
        <w:t>1.</w:t>
      </w:r>
      <w:r>
        <w:rPr>
          <w:rFonts w:hint="eastAsia"/>
          <w:color w:val="auto"/>
        </w:rPr>
        <w:t>2.1</w:t>
      </w:r>
      <w:r>
        <w:rPr>
          <w:rFonts w:hint="eastAsia"/>
          <w:color w:val="auto"/>
          <w:lang w:val="en-US" w:eastAsia="zh-CN"/>
        </w:rPr>
        <w:t xml:space="preserve">6 </w:t>
      </w:r>
      <w:r>
        <w:rPr>
          <w:rFonts w:hint="eastAsia"/>
          <w:color w:val="auto"/>
        </w:rPr>
        <w:t>智能应急与兜底保障</w:t>
      </w:r>
    </w:p>
    <w:p w14:paraId="104FE88B">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rPr>
        <w:t>应建立应急联动机制，支持紧急情况多级呼叫。所有智能设备宜保留手动操作作为兜底，并配套线下服务通道。可考虑增设防诈骗提醒功能。</w:t>
      </w:r>
    </w:p>
    <w:p w14:paraId="569ECE13">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rPr>
      </w:pPr>
      <w:bookmarkStart w:id="6" w:name="_Toc4222"/>
      <w:r>
        <w:rPr>
          <w:rFonts w:hint="eastAsia"/>
          <w:color w:val="auto"/>
          <w:lang w:val="en-US" w:eastAsia="zh-CN"/>
        </w:rPr>
        <w:t>社区开敞空间</w:t>
      </w:r>
      <w:r>
        <w:rPr>
          <w:rFonts w:hint="eastAsia"/>
          <w:color w:val="auto"/>
        </w:rPr>
        <w:t>适老化</w:t>
      </w:r>
      <w:r>
        <w:rPr>
          <w:rFonts w:hint="eastAsia"/>
          <w:color w:val="auto"/>
          <w:lang w:val="en-US" w:eastAsia="zh-CN"/>
        </w:rPr>
        <w:t>改造</w:t>
      </w:r>
      <w:bookmarkEnd w:id="6"/>
    </w:p>
    <w:p w14:paraId="0C75F702">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lang w:val="en-US" w:eastAsia="zh-CN"/>
        </w:rPr>
        <w:t>室外活动场所</w:t>
      </w:r>
    </w:p>
    <w:p w14:paraId="36BCE903">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4.2.1.1 配置标准与选址</w:t>
      </w:r>
    </w:p>
    <w:p w14:paraId="2725CB11">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社区内应设置老年人室外活动场地。其服务半径不宜大于150米，用地面积不宜小于30平方米。</w:t>
      </w:r>
    </w:p>
    <w:p w14:paraId="69BC1387">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供老年人活动的场地应选择在向阳、避风处，宜靠近居家养老服务设施和公共卫生间，并可与社区集中绿地、儿童活动场地相邻设置。应避免与机动车辆交通流线交叉。室外活动场地宜根据老年人活动特点进行动静分区，一般将运动项目场地作为“动区”，设置健身运动器材，并与休憩“静区”保持适当距离。</w:t>
      </w:r>
    </w:p>
    <w:p w14:paraId="7D5A1FB3">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4.2.1.2 老年人室外活动场所改造应满足下列要求：</w:t>
      </w:r>
    </w:p>
    <w:p w14:paraId="057F05FA">
      <w:pPr>
        <w:keepNext w:val="0"/>
        <w:keepLines w:val="0"/>
        <w:pageBreakBefore w:val="0"/>
        <w:widowControl w:val="0"/>
        <w:numPr>
          <w:ilvl w:val="0"/>
          <w:numId w:val="14"/>
        </w:numPr>
        <w:kinsoku/>
        <w:wordWrap/>
        <w:overflowPunct/>
        <w:topLinePunct w:val="0"/>
        <w:autoSpaceDE/>
        <w:autoSpaceDN/>
        <w:bidi w:val="0"/>
        <w:adjustRightInd/>
        <w:snapToGrid/>
        <w:ind w:firstLine="640"/>
        <w:jc w:val="left"/>
        <w:textAlignment w:val="auto"/>
        <w:rPr>
          <w:color w:val="auto"/>
        </w:rPr>
      </w:pPr>
      <w:r>
        <w:rPr>
          <w:rFonts w:hint="eastAsia"/>
          <w:color w:val="auto"/>
        </w:rPr>
        <w:t>地面应坚固平整、防滑耐磨、排水畅通，坡度不应大于2.5%；有高差处应设置轮椅坡道，</w:t>
      </w:r>
      <w:r>
        <w:rPr>
          <w:color w:val="auto"/>
        </w:rPr>
        <w:t>轮椅坡道</w:t>
      </w:r>
      <w:r>
        <w:rPr>
          <w:rFonts w:hint="eastAsia"/>
          <w:color w:val="auto"/>
        </w:rPr>
        <w:t>的设置要求须符合</w:t>
      </w:r>
      <w:r>
        <w:rPr>
          <w:color w:val="auto"/>
        </w:rPr>
        <w:t>《建筑与市政工程无障碍通用规范》（GB-55019）</w:t>
      </w:r>
      <w:r>
        <w:rPr>
          <w:rFonts w:hint="eastAsia"/>
          <w:color w:val="auto"/>
        </w:rPr>
        <w:t>，</w:t>
      </w:r>
      <w:r>
        <w:rPr>
          <w:color w:val="auto"/>
        </w:rPr>
        <w:t>通行净宽不应小于1.20m，横向坡度不应大于1:50，纵向坡度不应大于1:12；当条件受限且坡段起止点的高差不大于150mm时，纵向坡度不应大于1:10。轮椅坡道的高度大于300mm且纵向坡度大于1:20时，应在两侧设置扶手，坡道与休息平台的扶手应保持连贯。坡临空侧应设置高度不小于50mm的安全挡台，或与地面空隙不大于100mm的斜向栏杆等遮挡措施</w:t>
      </w:r>
      <w:r>
        <w:rPr>
          <w:rFonts w:hint="eastAsia"/>
          <w:color w:val="auto"/>
        </w:rPr>
        <w:t>。</w:t>
      </w:r>
    </w:p>
    <w:p w14:paraId="7514FA3F">
      <w:pPr>
        <w:keepNext w:val="0"/>
        <w:keepLines w:val="0"/>
        <w:pageBreakBefore w:val="0"/>
        <w:widowControl w:val="0"/>
        <w:numPr>
          <w:ilvl w:val="0"/>
          <w:numId w:val="14"/>
        </w:numPr>
        <w:kinsoku/>
        <w:wordWrap/>
        <w:overflowPunct/>
        <w:topLinePunct w:val="0"/>
        <w:autoSpaceDE/>
        <w:autoSpaceDN/>
        <w:bidi w:val="0"/>
        <w:adjustRightInd/>
        <w:snapToGrid/>
        <w:ind w:firstLine="640"/>
        <w:jc w:val="left"/>
        <w:textAlignment w:val="auto"/>
        <w:rPr>
          <w:color w:val="auto"/>
        </w:rPr>
      </w:pPr>
      <w:r>
        <w:rPr>
          <w:rFonts w:hint="eastAsia"/>
          <w:color w:val="auto"/>
        </w:rPr>
        <w:t>所有临水和临空的活动场所、踏步及坡道等设施处，均应设置安全护栏、扶手及提示类标志，</w:t>
      </w:r>
      <w:r>
        <w:rPr>
          <w:color w:val="auto"/>
        </w:rPr>
        <w:t>坡道、踏步及临空处扶手高度宜为850mm</w:t>
      </w:r>
      <w:r>
        <w:rPr>
          <w:rFonts w:hint="eastAsia" w:ascii="仿宋" w:hAnsi="仿宋" w:eastAsia="仿宋" w:cs="仿宋"/>
          <w:b w:val="0"/>
          <w:bCs w:val="0"/>
          <w:color w:val="auto"/>
          <w:kern w:val="0"/>
          <w:sz w:val="32"/>
          <w:szCs w:val="32"/>
          <w:lang w:val="en-US" w:eastAsia="zh-CN" w:bidi="ar"/>
        </w:rPr>
        <w:t>～</w:t>
      </w:r>
      <w:r>
        <w:rPr>
          <w:color w:val="auto"/>
        </w:rPr>
        <w:t>900mm（上层），若设双层扶手，下层扶手高度宜为650mm</w:t>
      </w:r>
      <w:r>
        <w:rPr>
          <w:rFonts w:hint="eastAsia" w:ascii="仿宋" w:hAnsi="仿宋" w:eastAsia="仿宋" w:cs="仿宋"/>
          <w:b w:val="0"/>
          <w:bCs w:val="0"/>
          <w:color w:val="auto"/>
          <w:kern w:val="0"/>
          <w:sz w:val="32"/>
          <w:szCs w:val="32"/>
          <w:lang w:val="en-US" w:eastAsia="zh-CN" w:bidi="ar"/>
        </w:rPr>
        <w:t>～</w:t>
      </w:r>
      <w:r>
        <w:rPr>
          <w:color w:val="auto"/>
        </w:rPr>
        <w:t>700mm</w:t>
      </w:r>
      <w:r>
        <w:rPr>
          <w:rFonts w:hint="eastAsia"/>
          <w:color w:val="auto"/>
        </w:rPr>
        <w:t>，同时宜设置照明设施。</w:t>
      </w:r>
    </w:p>
    <w:p w14:paraId="40D12618">
      <w:pPr>
        <w:keepNext w:val="0"/>
        <w:keepLines w:val="0"/>
        <w:pageBreakBefore w:val="0"/>
        <w:widowControl w:val="0"/>
        <w:numPr>
          <w:ilvl w:val="0"/>
          <w:numId w:val="14"/>
        </w:numPr>
        <w:kinsoku/>
        <w:wordWrap/>
        <w:overflowPunct/>
        <w:topLinePunct w:val="0"/>
        <w:autoSpaceDE/>
        <w:autoSpaceDN/>
        <w:bidi w:val="0"/>
        <w:adjustRightInd/>
        <w:snapToGrid/>
        <w:ind w:firstLine="640"/>
        <w:jc w:val="left"/>
        <w:textAlignment w:val="auto"/>
        <w:rPr>
          <w:color w:val="auto"/>
        </w:rPr>
      </w:pPr>
      <w:r>
        <w:rPr>
          <w:rFonts w:hint="eastAsia"/>
          <w:color w:val="auto"/>
        </w:rPr>
        <w:t>应设置休息座椅，座椅旁应预留轮椅停留空间，</w:t>
      </w:r>
      <w:r>
        <w:rPr>
          <w:color w:val="auto"/>
        </w:rPr>
        <w:t>轮椅停放空间净宽不应小于0.90m，轮椅回转区域直径不宜小于1.50m</w:t>
      </w:r>
      <w:r>
        <w:rPr>
          <w:rFonts w:hint="eastAsia"/>
          <w:color w:val="auto"/>
        </w:rPr>
        <w:t>。活动场所内的座椅与设施宜带有遮阳功能。供老年人使用的设施，边角应做成圆角或切角形式。</w:t>
      </w:r>
    </w:p>
    <w:p w14:paraId="32AF2D14">
      <w:pPr>
        <w:keepNext w:val="0"/>
        <w:keepLines w:val="0"/>
        <w:pageBreakBefore w:val="0"/>
        <w:widowControl w:val="0"/>
        <w:numPr>
          <w:ilvl w:val="0"/>
          <w:numId w:val="14"/>
        </w:numPr>
        <w:kinsoku/>
        <w:wordWrap/>
        <w:overflowPunct/>
        <w:topLinePunct w:val="0"/>
        <w:autoSpaceDE/>
        <w:autoSpaceDN/>
        <w:bidi w:val="0"/>
        <w:adjustRightInd/>
        <w:snapToGrid/>
        <w:ind w:firstLine="640"/>
        <w:jc w:val="left"/>
        <w:textAlignment w:val="auto"/>
        <w:rPr>
          <w:color w:val="auto"/>
        </w:rPr>
      </w:pPr>
      <w:r>
        <w:rPr>
          <w:rFonts w:hint="eastAsia"/>
          <w:color w:val="auto"/>
        </w:rPr>
        <w:t>宜设置以轻量运动为主的适老化健身器材，并在周边设置座椅和轮椅停放区域。</w:t>
      </w:r>
      <w:r>
        <w:rPr>
          <w:color w:val="auto"/>
        </w:rPr>
        <w:t>器材间距不宜小于1.50m，相邻器械间应至少留有轮椅通行净宽；器材成组布置时，每组器材数量宜为3</w:t>
      </w:r>
      <w:r>
        <w:rPr>
          <w:rFonts w:hint="eastAsia" w:ascii="仿宋" w:hAnsi="仿宋" w:eastAsia="仿宋" w:cs="仿宋"/>
          <w:b w:val="0"/>
          <w:bCs w:val="0"/>
          <w:color w:val="auto"/>
          <w:kern w:val="0"/>
          <w:sz w:val="32"/>
          <w:szCs w:val="32"/>
          <w:lang w:val="en-US" w:eastAsia="zh-CN" w:bidi="ar"/>
        </w:rPr>
        <w:t>～</w:t>
      </w:r>
      <w:r>
        <w:rPr>
          <w:color w:val="auto"/>
        </w:rPr>
        <w:t>5件，组内间距不应小于1.20m</w:t>
      </w:r>
      <w:r>
        <w:rPr>
          <w:rFonts w:hint="eastAsia"/>
          <w:color w:val="auto"/>
        </w:rPr>
        <w:t>。</w:t>
      </w:r>
    </w:p>
    <w:p w14:paraId="351EA28B">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公共</w:t>
      </w:r>
      <w:r>
        <w:rPr>
          <w:rFonts w:hint="eastAsia"/>
          <w:color w:val="auto"/>
          <w:lang w:val="en-US" w:eastAsia="zh-CN"/>
        </w:rPr>
        <w:t>绿地</w:t>
      </w:r>
    </w:p>
    <w:p w14:paraId="1EDC1CA3">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 xml:space="preserve">4.2.2.1 配建标准 </w:t>
      </w:r>
    </w:p>
    <w:p w14:paraId="1BC83307">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既有社区可结合边角地、废弃地、闲置地等改造建设的“口袋公园”“袖珍公园”等，服务半径不宜大于500米。建议每处用地面积不少于400平方米，用地紧张时可缩减至150平方米。</w:t>
      </w:r>
    </w:p>
    <w:p w14:paraId="0E6B211D">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宜构建合理的适老型功能分区，如活动区、散步道、交流区、休息区、健身区等，并做好动静分区。</w:t>
      </w:r>
    </w:p>
    <w:p w14:paraId="21A1AB01">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4.2.2.2 公共绿地改造应满足下列要求：</w:t>
      </w:r>
    </w:p>
    <w:p w14:paraId="1AB20FE6">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主要出入口应为无障碍出入口，优先采用平坡出入口（坡度≤1:20）。若采用台阶与坡道组合，坡道须符合《建筑与市政工程无障碍通用规范》（GB-55019）的要求。出入口应与城市人行道、绿道等外部无障碍系统顺畅连接，通过缘石坡道消除高差。</w:t>
      </w:r>
    </w:p>
    <w:p w14:paraId="5107F920">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主要园路或通道应连续、平整、防滑，宽度不小于1.2米，坡度平缓（宜≤1:20），条件受限时不应大于1:12（8.33%）。横向坡度不应大于1:50（2%）。鼓励达到1.80米以上以满足双向轮椅交错。</w:t>
      </w:r>
    </w:p>
    <w:p w14:paraId="4E8C5B01">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主要园路或通道应尽量避免设置台阶，必须设置时，应同步设置符合规范的轮椅坡道。提升高度大于300mm且坡度大于1:20时，两侧应设连续扶手。坡道临空侧须设安全挡台（高度≥100mm）。</w:t>
      </w:r>
    </w:p>
    <w:p w14:paraId="4525889F">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沿途宜合理间隔设置适老化座椅（建议25-50米），座椅旁预留轮椅停放空间（≥0.9米×1.2米）。座面高度宜为40-45厘米，带有靠背和扶手。优先采用木质或塑胶等温感舒适的材料，避免金属材质（冬冷夏热）。</w:t>
      </w:r>
    </w:p>
    <w:p w14:paraId="4D8DE9DF">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主要活动区、休息点宜设置廊架、亭、篷等，提供遮阳和避雨功能。</w:t>
      </w:r>
    </w:p>
    <w:p w14:paraId="6E915413">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4.2.2.3 老年人活动区域的植物配置应满足下列要求：</w:t>
      </w:r>
    </w:p>
    <w:p w14:paraId="6354DF3F">
      <w:pPr>
        <w:keepNext w:val="0"/>
        <w:keepLines w:val="0"/>
        <w:pageBreakBefore w:val="0"/>
        <w:widowControl w:val="0"/>
        <w:numPr>
          <w:ilvl w:val="0"/>
          <w:numId w:val="1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宜使用无毒、无刺、无危险落果/落叶、无飞絮、无刺激性气味，少虫害，少或无过敏源的植物。</w:t>
      </w:r>
    </w:p>
    <w:p w14:paraId="176A9A2B">
      <w:pPr>
        <w:keepNext w:val="0"/>
        <w:keepLines w:val="0"/>
        <w:pageBreakBefore w:val="0"/>
        <w:widowControl w:val="0"/>
        <w:numPr>
          <w:ilvl w:val="0"/>
          <w:numId w:val="1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活动场地宜种植落叶乔木，夏季遮阴，冬季透光；可增加感官刺激植物，如芳香植物（薄荷、迷迭香）、色彩鲜艳植物，以激活老年人视觉、嗅觉，延缓机能衰退。</w:t>
      </w:r>
    </w:p>
    <w:p w14:paraId="74A0B716">
      <w:pPr>
        <w:keepNext w:val="0"/>
        <w:keepLines w:val="0"/>
        <w:pageBreakBefore w:val="0"/>
        <w:widowControl w:val="0"/>
        <w:numPr>
          <w:ilvl w:val="0"/>
          <w:numId w:val="1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eastAsia"/>
          <w:color w:val="auto"/>
          <w:lang w:val="en-US" w:eastAsia="zh-CN"/>
        </w:rPr>
        <w:t>不宜种植遮挡视线的树木，应保持较好的可通视性，林下净空不宜小于2.50米。</w:t>
      </w:r>
    </w:p>
    <w:p w14:paraId="1629943A">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应急避难与安全疏散</w:t>
      </w:r>
    </w:p>
    <w:p w14:paraId="55A7B504">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4.2.3.1 社区应急避难与安全疏散应满足下列要求：</w:t>
      </w:r>
    </w:p>
    <w:p w14:paraId="1DD83E09">
      <w:pPr>
        <w:keepNext w:val="0"/>
        <w:keepLines w:val="0"/>
        <w:pageBreakBefore w:val="0"/>
        <w:widowControl w:val="0"/>
        <w:numPr>
          <w:ilvl w:val="0"/>
          <w:numId w:val="18"/>
        </w:numPr>
        <w:kinsoku/>
        <w:wordWrap/>
        <w:overflowPunct/>
        <w:topLinePunct w:val="0"/>
        <w:autoSpaceDE/>
        <w:autoSpaceDN/>
        <w:bidi w:val="0"/>
        <w:adjustRightInd/>
        <w:snapToGrid/>
        <w:ind w:firstLine="640"/>
        <w:jc w:val="left"/>
        <w:textAlignment w:val="auto"/>
        <w:rPr>
          <w:color w:val="auto"/>
        </w:rPr>
      </w:pPr>
      <w:r>
        <w:rPr>
          <w:rFonts w:hint="eastAsia"/>
          <w:color w:val="auto"/>
        </w:rPr>
        <w:t>社区应规划清晰的紧急送医通道，通道各处节点均应无阻碍且连续，宽度应能满足担架抬行或轮椅推行，紧急送医通道的通行净宽不应小于1.20米，</w:t>
      </w:r>
      <w:r>
        <w:rPr>
          <w:color w:val="auto"/>
        </w:rPr>
        <w:t>当通行净宽不小于1.50m时，能保证一辆轮椅和一个人正面相对通行；不小于1.80m时，能保证两辆轮椅正面相对通行。通道应避免设置沟槽及窨井盖板，或采取铺平处理</w:t>
      </w:r>
      <w:r>
        <w:rPr>
          <w:rFonts w:hint="eastAsia"/>
          <w:color w:val="auto"/>
        </w:rPr>
        <w:t>。</w:t>
      </w:r>
    </w:p>
    <w:p w14:paraId="0FB9372C">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rPr>
        <w:t>老年人经常活动的场所及停车位附近应设置视频监控系统和求助呼叫装置。</w:t>
      </w:r>
      <w:r>
        <w:rPr>
          <w:color w:val="auto"/>
        </w:rPr>
        <w:t>采用按钮型呼叫装置时，公共活动场地呼叫装置高度为0.90m</w:t>
      </w:r>
      <w:r>
        <w:rPr>
          <w:rFonts w:hint="eastAsia" w:ascii="仿宋" w:hAnsi="仿宋" w:eastAsia="仿宋" w:cs="仿宋"/>
          <w:b w:val="0"/>
          <w:bCs w:val="0"/>
          <w:color w:val="auto"/>
          <w:kern w:val="0"/>
          <w:sz w:val="32"/>
          <w:szCs w:val="32"/>
          <w:lang w:val="en-US" w:eastAsia="zh-CN" w:bidi="ar"/>
        </w:rPr>
        <w:t>～</w:t>
      </w:r>
      <w:r>
        <w:rPr>
          <w:color w:val="auto"/>
        </w:rPr>
        <w:t>1.20m；采用拉绳方式时，拉绳末端距地高度宜为1.10m。视频监控系统应覆盖主要出入口、活动场地及停车位等关键节点，存储时间不宜少于30天。</w:t>
      </w:r>
    </w:p>
    <w:p w14:paraId="147C32A2">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在社区道路分岔口、主要活动场地等主要交通流线位置醒目处设置应急疏散标识系统，标识信息应完整易懂，方位清晰，导向准确。</w:t>
      </w:r>
    </w:p>
    <w:p w14:paraId="07FB12F9">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lang w:val="en-US" w:eastAsia="zh-CN"/>
        </w:rPr>
        <w:t>在社区危险处（如临空、临水、高差变化处）应设置明显的安全警示标识。</w:t>
      </w:r>
    </w:p>
    <w:p w14:paraId="2CB65BD6">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4.2</w:t>
      </w:r>
      <w:r>
        <w:rPr>
          <w:rFonts w:hint="eastAsia"/>
          <w:color w:val="auto"/>
        </w:rPr>
        <w:t>.3.</w:t>
      </w:r>
      <w:r>
        <w:rPr>
          <w:rFonts w:hint="eastAsia"/>
          <w:color w:val="auto"/>
          <w:lang w:val="en-US" w:eastAsia="zh-CN"/>
        </w:rPr>
        <w:t>2</w:t>
      </w:r>
      <w:r>
        <w:rPr>
          <w:rFonts w:hint="eastAsia"/>
          <w:color w:val="auto"/>
        </w:rPr>
        <w:t xml:space="preserve"> 社区公共空间照明改造应</w:t>
      </w:r>
      <w:r>
        <w:rPr>
          <w:rFonts w:hint="eastAsia"/>
          <w:color w:val="auto"/>
          <w:lang w:val="en-US" w:eastAsia="zh-CN"/>
        </w:rPr>
        <w:t>满足下列要求</w:t>
      </w:r>
      <w:r>
        <w:rPr>
          <w:rFonts w:hint="eastAsia"/>
          <w:color w:val="auto"/>
        </w:rPr>
        <w:t>：</w:t>
      </w:r>
    </w:p>
    <w:p w14:paraId="430F23CF">
      <w:pPr>
        <w:keepNext w:val="0"/>
        <w:keepLines w:val="0"/>
        <w:pageBreakBefore w:val="0"/>
        <w:widowControl w:val="0"/>
        <w:numPr>
          <w:ilvl w:val="0"/>
          <w:numId w:val="1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社区老年人主要活动区、出入口、园路、台阶坡道等处应设置充足、均匀、无眩光的照明，保障夜间活动安全。</w:t>
      </w:r>
    </w:p>
    <w:p w14:paraId="742C8796">
      <w:pPr>
        <w:keepNext w:val="0"/>
        <w:keepLines w:val="0"/>
        <w:pageBreakBefore w:val="0"/>
        <w:widowControl w:val="0"/>
        <w:numPr>
          <w:ilvl w:val="0"/>
          <w:numId w:val="1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宜采用分层照明。步行道路、台阶边缘等可设低位地灯（色温3000K-4000K）提供基础照明，如地埋灯、低位壁灯、草坪灯，安装高度≤0.5米，避免眩光，鼓励采用雷达感应灯具，实现“人近灯亮”；重点活动区域如座椅区、健身区、告示栏等采用中位照明，安装在墙体、廊柱或较低杆柱上，提供功能性照明，高度约1.2-2.5米；大范围的背景环境照明采用高位照明，安装在路灯杆、建筑立面或高大乔木上。高度大于2.5米。</w:t>
      </w:r>
    </w:p>
    <w:p w14:paraId="0BC92DDC">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标识系统</w:t>
      </w:r>
    </w:p>
    <w:p w14:paraId="28AEADC9">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4.2.4.1 标识系统改造应满足下列要求：</w:t>
      </w:r>
    </w:p>
    <w:p w14:paraId="7FD33B19">
      <w:pPr>
        <w:keepNext w:val="0"/>
        <w:keepLines w:val="0"/>
        <w:pageBreakBefore w:val="0"/>
        <w:widowControl w:val="0"/>
        <w:numPr>
          <w:ilvl w:val="0"/>
          <w:numId w:val="20"/>
        </w:numPr>
        <w:kinsoku/>
        <w:wordWrap/>
        <w:overflowPunct/>
        <w:topLinePunct w:val="0"/>
        <w:autoSpaceDE/>
        <w:autoSpaceDN/>
        <w:bidi w:val="0"/>
        <w:adjustRightInd/>
        <w:snapToGrid/>
        <w:ind w:firstLine="640"/>
        <w:jc w:val="left"/>
        <w:textAlignment w:val="auto"/>
        <w:rPr>
          <w:color w:val="auto"/>
        </w:rPr>
      </w:pPr>
      <w:r>
        <w:rPr>
          <w:rFonts w:hint="eastAsia"/>
          <w:color w:val="auto"/>
        </w:rPr>
        <w:t>应形成连续、多层次的标识系统体系，覆盖从社区入口到楼栋、单元、公共设施的全路径，标识内容应简炼清晰可辨，精准表达，图文信息清晰。</w:t>
      </w:r>
      <w:r>
        <w:rPr>
          <w:color w:val="auto"/>
        </w:rPr>
        <w:t>标识和标牌安装的位置应统一，主要设置在人们行走时需要做出决定的地方，楼层示意图应布置在建筑入口和电梯附近。应避免将标识安装在阴影区或反光的地方，与周围背景应有足够反差</w:t>
      </w:r>
      <w:r>
        <w:rPr>
          <w:rFonts w:hint="eastAsia"/>
          <w:color w:val="auto"/>
        </w:rPr>
        <w:t>。</w:t>
      </w:r>
    </w:p>
    <w:p w14:paraId="658F2165">
      <w:pPr>
        <w:keepNext w:val="0"/>
        <w:keepLines w:val="0"/>
        <w:pageBreakBefore w:val="0"/>
        <w:widowControl w:val="0"/>
        <w:numPr>
          <w:ilvl w:val="0"/>
          <w:numId w:val="20"/>
        </w:numPr>
        <w:kinsoku/>
        <w:wordWrap/>
        <w:overflowPunct/>
        <w:topLinePunct w:val="0"/>
        <w:autoSpaceDE/>
        <w:autoSpaceDN/>
        <w:bidi w:val="0"/>
        <w:adjustRightInd/>
        <w:snapToGrid/>
        <w:ind w:firstLine="640"/>
        <w:jc w:val="left"/>
        <w:textAlignment w:val="auto"/>
        <w:rPr>
          <w:color w:val="auto"/>
        </w:rPr>
      </w:pPr>
      <w:r>
        <w:rPr>
          <w:rFonts w:hint="eastAsia"/>
          <w:color w:val="auto"/>
        </w:rPr>
        <w:t>宜采用色彩突出、造型简单明确的标识。字体和图案宜放大，彩度间隔不应小于120°，明度差不应小于7级。标识板内容的可视范围距地面高度宜设置在0.70米</w:t>
      </w:r>
      <w:r>
        <w:rPr>
          <w:rFonts w:hint="eastAsia" w:ascii="仿宋" w:hAnsi="仿宋" w:eastAsia="仿宋" w:cs="仿宋"/>
          <w:b w:val="0"/>
          <w:bCs w:val="0"/>
          <w:color w:val="auto"/>
          <w:kern w:val="0"/>
          <w:sz w:val="32"/>
          <w:szCs w:val="32"/>
          <w:lang w:val="en-US" w:eastAsia="zh-CN" w:bidi="ar"/>
        </w:rPr>
        <w:t>～</w:t>
      </w:r>
      <w:r>
        <w:rPr>
          <w:rFonts w:hint="eastAsia"/>
          <w:color w:val="auto"/>
        </w:rPr>
        <w:t>1.75米之间，安装位置中心线距地面高度宜为1.35米。</w:t>
      </w:r>
    </w:p>
    <w:p w14:paraId="3F010E83">
      <w:pPr>
        <w:keepNext w:val="0"/>
        <w:keepLines w:val="0"/>
        <w:pageBreakBefore w:val="0"/>
        <w:widowControl w:val="0"/>
        <w:numPr>
          <w:ilvl w:val="0"/>
          <w:numId w:val="20"/>
        </w:numPr>
        <w:kinsoku/>
        <w:wordWrap/>
        <w:overflowPunct/>
        <w:topLinePunct w:val="0"/>
        <w:autoSpaceDE/>
        <w:autoSpaceDN/>
        <w:bidi w:val="0"/>
        <w:adjustRightInd/>
        <w:snapToGrid/>
        <w:ind w:firstLine="640"/>
        <w:jc w:val="left"/>
        <w:textAlignment w:val="auto"/>
        <w:rPr>
          <w:color w:val="auto"/>
        </w:rPr>
      </w:pPr>
      <w:r>
        <w:rPr>
          <w:rFonts w:hint="eastAsia"/>
          <w:color w:val="auto"/>
        </w:rPr>
        <w:t>标识宜具有夜间显示功能，并做好防眩光措施。设标识处均应设置照明设施。</w:t>
      </w:r>
      <w:r>
        <w:rPr>
          <w:color w:val="auto"/>
        </w:rPr>
        <w:t>夜间显示功能可采用内置LED背光照明或反光材料</w:t>
      </w:r>
      <w:r>
        <w:rPr>
          <w:rFonts w:hint="eastAsia"/>
          <w:color w:val="auto"/>
        </w:rPr>
        <w:t>。</w:t>
      </w:r>
    </w:p>
    <w:p w14:paraId="749FD593">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eastAsia"/>
          <w:color w:val="auto"/>
          <w:lang w:val="en-US" w:eastAsia="zh-CN"/>
        </w:rPr>
        <w:t>鼓励结合语音提示、智能导览等智能化辅助手段，为老年人提供更直观和明确的信息指引，在重要节点设置声控导览牌，提供节点介绍、公厕定位、紧急呼叫等功能。</w:t>
      </w:r>
    </w:p>
    <w:p w14:paraId="32FDA4D6">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rPr>
      </w:pPr>
      <w:bookmarkStart w:id="7" w:name="_Toc13565"/>
      <w:r>
        <w:rPr>
          <w:rFonts w:hint="eastAsia"/>
          <w:color w:val="auto"/>
        </w:rPr>
        <w:t>公共服务设施适老化</w:t>
      </w:r>
      <w:r>
        <w:rPr>
          <w:rFonts w:hint="eastAsia"/>
          <w:color w:val="auto"/>
          <w:lang w:val="en-US" w:eastAsia="zh-CN"/>
        </w:rPr>
        <w:t>改造</w:t>
      </w:r>
      <w:bookmarkEnd w:id="7"/>
    </w:p>
    <w:p w14:paraId="504D2A5F">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社区综合服务站</w:t>
      </w:r>
    </w:p>
    <w:p w14:paraId="17EFA73B">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4.3.1.1 功能设置</w:t>
      </w:r>
    </w:p>
    <w:p w14:paraId="2DCB32F4">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社区综合服务站宜整合政务服务、便民代办、文化活动、养老助残咨询、应急联络等功能，实行一站式服务。</w:t>
      </w:r>
    </w:p>
    <w:p w14:paraId="7B994172">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优先设置在建筑首层，设置在二层及以上的，必须配备无障碍电梯，并设置连贯无障碍通行流线。</w:t>
      </w:r>
    </w:p>
    <w:p w14:paraId="1D57654E">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应独立设置老年人接待区、等候休息区、无障碍办事窗口，并与老年服务站、社区卫生服务站就近布局、功能联动。</w:t>
      </w:r>
    </w:p>
    <w:p w14:paraId="5B7604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200" w:right="0" w:rightChars="0"/>
        <w:jc w:val="left"/>
        <w:textAlignment w:val="auto"/>
        <w:rPr>
          <w:rFonts w:hint="eastAsia"/>
          <w:color w:val="auto"/>
          <w:lang w:val="en-US" w:eastAsia="zh-CN"/>
        </w:rPr>
      </w:pPr>
      <w:r>
        <w:rPr>
          <w:rFonts w:hint="eastAsia"/>
          <w:color w:val="auto"/>
          <w:lang w:val="en-US" w:eastAsia="zh-CN"/>
        </w:rPr>
        <w:t>4.3.1.2 社区综合服务站改造应满足下列要求：</w:t>
      </w:r>
    </w:p>
    <w:p w14:paraId="5126DD06">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出入口宜采用平坡出入口，地面坡度不大于1:20；不设台阶与门槛，消除地面高差。出入口及室内通道可设置双面连续扶手，通道净宽不小于1.2m，满足轮椅通行与回转要求。</w:t>
      </w:r>
    </w:p>
    <w:p w14:paraId="698BF8B2">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应设置低位服务台，台面高度0.70m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0.85m，下部预留容膝空间（宽≥0.75m、高≥0.65m）。服务台配备大字标识、语音播报装置、老花镜、放大镜、加粗扶手签字笔，保留人工办理与现金支付通道。</w:t>
      </w:r>
    </w:p>
    <w:p w14:paraId="762D86F5">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标识系统采用大字体、高对比度、夜间可视设计，重要信息增设盲文，安装高度控制在0.7m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1.75m。</w:t>
      </w:r>
    </w:p>
    <w:p w14:paraId="47F3C36A">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室内照明充足柔和，显色指数大于80，避免眩光；墙面与地面采用高对比色彩。</w:t>
      </w:r>
    </w:p>
    <w:p w14:paraId="2B3210CE">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走廊、转角、卫生间等位置设置连续安全扶手，扶手高度0.85m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0.90m，材质防滑、触感温和。</w:t>
      </w:r>
    </w:p>
    <w:p w14:paraId="33EED71B">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公共区域安装紧急呼叫按钮，安装高度0.9m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1.2m，与社区值班室、监控系统联动。</w:t>
      </w:r>
    </w:p>
    <w:p w14:paraId="28F2CBAC">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老年服务站</w:t>
      </w:r>
    </w:p>
    <w:p w14:paraId="533C160B">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4.3.2.1 配置标准</w:t>
      </w:r>
    </w:p>
    <w:p w14:paraId="16885AFD">
      <w:pPr>
        <w:keepNext w:val="0"/>
        <w:keepLines w:val="0"/>
        <w:pageBreakBefore w:val="0"/>
        <w:widowControl w:val="0"/>
        <w:numPr>
          <w:ilvl w:val="0"/>
          <w:numId w:val="2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新建社区按每百户不低于30㎡配建，既有社区按每百户不低于20㎡兜底保障，单处建筑面积不小于200㎡，新建项目不小于350㎡，集中设置、不得分散。</w:t>
      </w:r>
    </w:p>
    <w:p w14:paraId="671D2C55">
      <w:pPr>
        <w:keepNext w:val="0"/>
        <w:keepLines w:val="0"/>
        <w:pageBreakBefore w:val="0"/>
        <w:widowControl w:val="0"/>
        <w:numPr>
          <w:ilvl w:val="0"/>
          <w:numId w:val="2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应位于老年人口集中区域，紧邻社区卫生服务站、社区广场、绿地等公共空间，避开噪声源与污染源，环境安静、交通便捷。</w:t>
      </w:r>
    </w:p>
    <w:p w14:paraId="4A1FC900">
      <w:pPr>
        <w:keepNext w:val="0"/>
        <w:keepLines w:val="0"/>
        <w:pageBreakBefore w:val="0"/>
        <w:widowControl w:val="0"/>
        <w:numPr>
          <w:ilvl w:val="0"/>
          <w:numId w:val="2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原则上设置在首层；设置在二层及以上的，必须配备无障碍电梯，严禁设置在地下室、半地下室。</w:t>
      </w:r>
    </w:p>
    <w:p w14:paraId="7704B0EB">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4.3.2.2 老年服务站改造应满足下列要求：</w:t>
      </w:r>
    </w:p>
    <w:p w14:paraId="6D1836FB">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内部空间应设置合理的功能分区，满足日间照料、文化娱乐、康复活动、服务咨询等功能需求。老年人活动室、多功能室配备适老化桌椅、健身器材等家具设备。</w:t>
      </w:r>
    </w:p>
    <w:p w14:paraId="49ACE5CD">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出入口应设置无障碍坡道+连续扶手，地面无高差、防滑处理。</w:t>
      </w:r>
    </w:p>
    <w:p w14:paraId="6E5806ED">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室内走廊应设置连续扶手，卫生间配备无障碍厕位、安全抓杆、紧急呼叫按钮（安装高度0.4m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0.5m）。</w:t>
      </w:r>
    </w:p>
    <w:p w14:paraId="0B807C48">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走廊、大厅、活动室等老年人经常活动区域配置休息座椅，间距不超过30m。休息座椅应带扶手，座高0.40m</w:t>
      </w:r>
      <w:r>
        <w:rPr>
          <w:rFonts w:hint="eastAsia" w:ascii="仿宋" w:hAnsi="仿宋" w:eastAsia="仿宋" w:cs="仿宋"/>
          <w:b w:val="0"/>
          <w:bCs w:val="0"/>
          <w:color w:val="auto"/>
          <w:kern w:val="0"/>
          <w:sz w:val="32"/>
          <w:szCs w:val="32"/>
          <w:lang w:val="en-US" w:eastAsia="zh-CN" w:bidi="ar"/>
        </w:rPr>
        <w:t>～</w:t>
      </w:r>
      <w:r>
        <w:rPr>
          <w:rFonts w:hint="eastAsia"/>
          <w:color w:val="auto"/>
          <w:lang w:val="en-US" w:eastAsia="zh-CN"/>
        </w:rPr>
        <w:t>0.45m，旁留轮椅回转空间。</w:t>
      </w:r>
    </w:p>
    <w:p w14:paraId="0E9E133D">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社区卫生服务站</w:t>
      </w:r>
    </w:p>
    <w:p w14:paraId="63C53F34">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4.3.3.1 配置标准</w:t>
      </w:r>
    </w:p>
    <w:p w14:paraId="0EB404C4">
      <w:pPr>
        <w:keepNext w:val="0"/>
        <w:keepLines w:val="0"/>
        <w:pageBreakBefore w:val="0"/>
        <w:widowControl w:val="0"/>
        <w:numPr>
          <w:ilvl w:val="0"/>
          <w:numId w:val="2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建筑面积不小于120㎡，独立设置全科诊疗室、康复理疗室、健康教育室、观察室、药房，功能分区清晰、流线便捷。</w:t>
      </w:r>
    </w:p>
    <w:p w14:paraId="6D488A36">
      <w:pPr>
        <w:keepNext w:val="0"/>
        <w:keepLines w:val="0"/>
        <w:pageBreakBefore w:val="0"/>
        <w:widowControl w:val="0"/>
        <w:numPr>
          <w:ilvl w:val="0"/>
          <w:numId w:val="2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应与老年服务站毗邻设置或一体化建设，推行“医养结合”服务模式，方便老年人就近就医、健康管理。</w:t>
      </w:r>
    </w:p>
    <w:p w14:paraId="79A5C3C2">
      <w:pPr>
        <w:keepNext w:val="0"/>
        <w:keepLines w:val="0"/>
        <w:pageBreakBefore w:val="0"/>
        <w:widowControl w:val="0"/>
        <w:numPr>
          <w:ilvl w:val="0"/>
          <w:numId w:val="2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优先设置在首层，出入口无障碍，候诊—诊疗—取药流线最短化，减少老年人步行距离。</w:t>
      </w:r>
    </w:p>
    <w:p w14:paraId="2B6B848E">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4.3.3.2 社区卫生服务站改造应满足下列要求：</w:t>
      </w:r>
    </w:p>
    <w:p w14:paraId="773B7C03">
      <w:pPr>
        <w:keepNext w:val="0"/>
        <w:keepLines w:val="0"/>
        <w:pageBreakBefore w:val="0"/>
        <w:widowControl w:val="0"/>
        <w:numPr>
          <w:ilvl w:val="0"/>
          <w:numId w:val="2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候诊区应设置适老座椅、轮椅停放区、连续扶手，地面防滑、无高差，通行净宽不小于1.2m。候诊区的适老化座椅占比不低于总座椅数的50%。</w:t>
      </w:r>
    </w:p>
    <w:p w14:paraId="0C1E7868">
      <w:pPr>
        <w:keepNext w:val="0"/>
        <w:keepLines w:val="0"/>
        <w:pageBreakBefore w:val="0"/>
        <w:widowControl w:val="0"/>
        <w:numPr>
          <w:ilvl w:val="0"/>
          <w:numId w:val="2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就诊通道的净宽度不小于1.8m。诊室、治疗室、观察室门净宽应不小于0.9m，满足轮椅、助行器进入。</w:t>
      </w:r>
    </w:p>
    <w:p w14:paraId="386212E4">
      <w:pPr>
        <w:keepNext w:val="0"/>
        <w:keepLines w:val="0"/>
        <w:pageBreakBefore w:val="0"/>
        <w:widowControl w:val="0"/>
        <w:numPr>
          <w:ilvl w:val="0"/>
          <w:numId w:val="2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诊疗床可调节高度，配备辅助扶手；检查灯光线柔和、避免眩光。</w:t>
      </w:r>
    </w:p>
    <w:p w14:paraId="5FDDF10A">
      <w:pPr>
        <w:keepNext w:val="0"/>
        <w:keepLines w:val="0"/>
        <w:pageBreakBefore w:val="0"/>
        <w:widowControl w:val="0"/>
        <w:numPr>
          <w:ilvl w:val="0"/>
          <w:numId w:val="2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卫生间设置无障碍厕位与紧急呼叫装置。</w:t>
      </w:r>
    </w:p>
    <w:p w14:paraId="32ECB39F">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社区食堂</w:t>
      </w:r>
    </w:p>
    <w:p w14:paraId="475C708B">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4.3.4.1 配置标准</w:t>
      </w:r>
    </w:p>
    <w:p w14:paraId="278EB22E">
      <w:pPr>
        <w:keepNext w:val="0"/>
        <w:keepLines w:val="0"/>
        <w:pageBreakBefore w:val="0"/>
        <w:widowControl w:val="0"/>
        <w:numPr>
          <w:ilvl w:val="0"/>
          <w:numId w:val="2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建筑面积不小于200㎡，原则上设置在首层，严禁设置在地下室、半地下室。</w:t>
      </w:r>
    </w:p>
    <w:p w14:paraId="66D23766">
      <w:pPr>
        <w:keepNext w:val="0"/>
        <w:keepLines w:val="0"/>
        <w:pageBreakBefore w:val="0"/>
        <w:widowControl w:val="0"/>
        <w:numPr>
          <w:ilvl w:val="0"/>
          <w:numId w:val="2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服务半径满足老年人步行10分钟以内可达，与老年服务站联动运营，同步提供堂食、打包、送餐服务。</w:t>
      </w:r>
    </w:p>
    <w:p w14:paraId="5DC1A431">
      <w:pPr>
        <w:keepNext w:val="0"/>
        <w:keepLines w:val="0"/>
        <w:pageBreakBefore w:val="0"/>
        <w:widowControl w:val="0"/>
        <w:numPr>
          <w:ilvl w:val="0"/>
          <w:numId w:val="27"/>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优先保障高龄、独居、失能、残疾、低保老年人用餐需求，执行普惠助餐价格。</w:t>
      </w:r>
    </w:p>
    <w:p w14:paraId="21FD9438">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4.3.4.2 社区食堂改造应满足下列要求：</w:t>
      </w:r>
    </w:p>
    <w:p w14:paraId="6A312EC0">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出入口无高差、无障碍，设置扶手与休息座椅，地面防滑、防积水。</w:t>
      </w:r>
    </w:p>
    <w:p w14:paraId="7482A114">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室内通道净宽不小于1.2m，满足轮椅通行与回转；餐桌间距不小于1.5m，桌椅稳固、边角圆角处理。</w:t>
      </w:r>
    </w:p>
    <w:p w14:paraId="1C481AC7">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部分餐桌采用可兼容轮椅就餐的设计，座椅座高0.45m左右，带扶手支撑。</w:t>
      </w:r>
    </w:p>
    <w:p w14:paraId="6786467D">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墙面阳角做圆弧防撞处理，照明采用暖光源、防眩光、照度均匀。</w:t>
      </w:r>
    </w:p>
    <w:p w14:paraId="07C245B0">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宜设置全覆盖监控与紧急呼叫装置，疏散通道畅通，应急标识清晰醒目。</w:t>
      </w:r>
    </w:p>
    <w:p w14:paraId="66351714">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应提供低盐、低糖、低脂、软烂、易咀嚼、易消化的老年营养餐，支持菜品加热与个性化定制。</w:t>
      </w:r>
    </w:p>
    <w:p w14:paraId="12A973A9">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收银台、服务台设置低位服务设施。</w:t>
      </w:r>
    </w:p>
    <w:p w14:paraId="3D580223">
      <w:pPr>
        <w:keepNext w:val="0"/>
        <w:keepLines w:val="0"/>
        <w:pageBreakBefore w:val="0"/>
        <w:widowControl w:val="0"/>
        <w:numPr>
          <w:ilvl w:val="0"/>
          <w:numId w:val="2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应设立老年人专座、优先就餐窗口、爱心助餐岗，提供堂食、外带、上门送餐服务。</w:t>
      </w:r>
    </w:p>
    <w:p w14:paraId="6320D443">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rPr>
      </w:pPr>
      <w:bookmarkStart w:id="8" w:name="_Toc20709"/>
      <w:r>
        <w:rPr>
          <w:rFonts w:hint="eastAsia"/>
          <w:color w:val="auto"/>
        </w:rPr>
        <w:t>市政基础设施适老化</w:t>
      </w:r>
      <w:r>
        <w:rPr>
          <w:rFonts w:hint="eastAsia"/>
          <w:color w:val="auto"/>
          <w:lang w:val="en-US" w:eastAsia="zh-CN"/>
        </w:rPr>
        <w:t>改造</w:t>
      </w:r>
      <w:bookmarkEnd w:id="8"/>
    </w:p>
    <w:p w14:paraId="5FF77741">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无障碍设施</w:t>
      </w:r>
    </w:p>
    <w:p w14:paraId="1B53117C">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4.4.1.1 社区无障碍通行设施应与居住建筑出入口、居住绿地出入口及配套公共设施出入口、无障碍机动车停车位、城市道路无障碍设施实现无障碍衔接。</w:t>
      </w:r>
    </w:p>
    <w:p w14:paraId="2F150EC2">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4.4.1.2 为社区居民提供服务的各类服务台均应设置低位服务设施，包括问询台、接待处、业务台、收银台、借阅台等。当设置饮水机、自动取款机、自动售票机、自动贩卖机等时，每个区域的不同类型设施应至少有1台为低位服务设施。</w:t>
      </w:r>
    </w:p>
    <w:p w14:paraId="125CC700">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4.4.1.3 社区无障碍信息交流设施应通过物理环境、硬件设备和数字技术、人工智能等综合设计，确保社区居民，特别是有视障、听障、认知障碍的老年人等行动障碍者能够无障碍地获取、利用和交流信息（如标识、广播、智能机器人等）。</w:t>
      </w:r>
    </w:p>
    <w:p w14:paraId="0F17C59E">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4.4.1.4 社区无障碍设施应按照现行强制性工程建设规范《建筑与市政工程无障碍通用规范》GB 55019和现行国家标准《无障碍设计规范》GB 50763进行设计，提高社区居民、特别是老年人的生活品质。</w:t>
      </w:r>
    </w:p>
    <w:p w14:paraId="4B7153B7">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lang w:val="en-US" w:eastAsia="zh-CN"/>
        </w:rPr>
        <w:t>道路</w:t>
      </w:r>
      <w:r>
        <w:rPr>
          <w:rFonts w:hint="eastAsia"/>
          <w:color w:val="auto"/>
        </w:rPr>
        <w:t>系统</w:t>
      </w:r>
    </w:p>
    <w:p w14:paraId="68555E51">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4.4.2.1 社区道路系统应进行交通稳静化设计，在老年人活动密集区域采取限速控制、抬升过街、缩窄车道等措施，保障步行安全与通行优先权。</w:t>
      </w:r>
    </w:p>
    <w:p w14:paraId="2E1044D6">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4.4.2.2 社区步行道改造应满足下列要求：</w:t>
      </w:r>
    </w:p>
    <w:p w14:paraId="412D7F70">
      <w:pPr>
        <w:keepNext w:val="0"/>
        <w:keepLines w:val="0"/>
        <w:pageBreakBefore w:val="0"/>
        <w:widowControl w:val="0"/>
        <w:numPr>
          <w:ilvl w:val="0"/>
          <w:numId w:val="29"/>
        </w:numPr>
        <w:kinsoku/>
        <w:wordWrap/>
        <w:overflowPunct/>
        <w:topLinePunct w:val="0"/>
        <w:autoSpaceDE/>
        <w:autoSpaceDN/>
        <w:bidi w:val="0"/>
        <w:adjustRightInd/>
        <w:snapToGrid/>
        <w:ind w:firstLine="640"/>
        <w:jc w:val="left"/>
        <w:textAlignment w:val="auto"/>
        <w:rPr>
          <w:color w:val="auto"/>
        </w:rPr>
      </w:pPr>
      <w:r>
        <w:rPr>
          <w:rFonts w:hint="eastAsia"/>
          <w:color w:val="auto"/>
        </w:rPr>
        <w:t>步行道系统应全线贯通，不得因设施（如变电箱、灯杆、报刊亭）占用而中断。既有占道设施应迁移或外移。</w:t>
      </w:r>
    </w:p>
    <w:p w14:paraId="097EC049">
      <w:pPr>
        <w:keepNext w:val="0"/>
        <w:keepLines w:val="0"/>
        <w:pageBreakBefore w:val="0"/>
        <w:widowControl w:val="0"/>
        <w:numPr>
          <w:ilvl w:val="0"/>
          <w:numId w:val="29"/>
        </w:numPr>
        <w:kinsoku/>
        <w:wordWrap/>
        <w:overflowPunct/>
        <w:topLinePunct w:val="0"/>
        <w:autoSpaceDE/>
        <w:autoSpaceDN/>
        <w:bidi w:val="0"/>
        <w:adjustRightInd/>
        <w:snapToGrid/>
        <w:ind w:firstLine="640"/>
        <w:jc w:val="left"/>
        <w:textAlignment w:val="auto"/>
        <w:rPr>
          <w:color w:val="auto"/>
        </w:rPr>
      </w:pPr>
      <w:r>
        <w:rPr>
          <w:rFonts w:hint="eastAsia"/>
          <w:color w:val="auto"/>
        </w:rPr>
        <w:t>步行道有效通行宽度：连接社区主要服务设施（如社区中心、卫生站、菜市场）的专用步行道，其无障碍通行净宽不应小于2.0m；空间受限的宅间路等，在满足消防通行前提下，改造后宽度不应小于1.5m，并宜每隔50m设置一处宽度不小于1.8m的错车空间。</w:t>
      </w:r>
    </w:p>
    <w:p w14:paraId="5EA366C4">
      <w:pPr>
        <w:keepNext w:val="0"/>
        <w:keepLines w:val="0"/>
        <w:pageBreakBefore w:val="0"/>
        <w:widowControl w:val="0"/>
        <w:numPr>
          <w:ilvl w:val="0"/>
          <w:numId w:val="29"/>
        </w:numPr>
        <w:kinsoku/>
        <w:wordWrap/>
        <w:overflowPunct/>
        <w:topLinePunct w:val="0"/>
        <w:autoSpaceDE/>
        <w:autoSpaceDN/>
        <w:bidi w:val="0"/>
        <w:adjustRightInd/>
        <w:snapToGrid/>
        <w:ind w:firstLine="640"/>
        <w:jc w:val="left"/>
        <w:textAlignment w:val="auto"/>
        <w:rPr>
          <w:color w:val="auto"/>
        </w:rPr>
      </w:pPr>
      <w:r>
        <w:rPr>
          <w:rFonts w:hint="eastAsia"/>
          <w:color w:val="auto"/>
        </w:rPr>
        <w:t>步行道铺装应平整、防滑、无反光，不同铺装面层间高差不应大于5mm。井盖应与路面平齐。</w:t>
      </w:r>
    </w:p>
    <w:p w14:paraId="3DAA5A86">
      <w:pPr>
        <w:keepNext w:val="0"/>
        <w:keepLines w:val="0"/>
        <w:pageBreakBefore w:val="0"/>
        <w:widowControl w:val="0"/>
        <w:numPr>
          <w:ilvl w:val="0"/>
          <w:numId w:val="29"/>
        </w:numPr>
        <w:kinsoku/>
        <w:wordWrap/>
        <w:overflowPunct/>
        <w:topLinePunct w:val="0"/>
        <w:autoSpaceDE/>
        <w:autoSpaceDN/>
        <w:bidi w:val="0"/>
        <w:adjustRightInd/>
        <w:snapToGrid/>
        <w:ind w:firstLine="640"/>
        <w:jc w:val="left"/>
        <w:textAlignment w:val="auto"/>
        <w:rPr>
          <w:color w:val="auto"/>
        </w:rPr>
      </w:pPr>
      <w:r>
        <w:rPr>
          <w:rFonts w:hint="eastAsia"/>
          <w:color w:val="auto"/>
        </w:rPr>
        <w:t>步行道与建筑出入口、公交站台、停车区之间应通过缘石坡道实现无障碍衔接，消除高差。</w:t>
      </w:r>
    </w:p>
    <w:p w14:paraId="4B5FA10B">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4.4.2.3 人行过街改造应满足下列要求：</w:t>
      </w:r>
    </w:p>
    <w:p w14:paraId="2EB1FF16">
      <w:pPr>
        <w:keepNext w:val="0"/>
        <w:keepLines w:val="0"/>
        <w:pageBreakBefore w:val="0"/>
        <w:widowControl w:val="0"/>
        <w:numPr>
          <w:ilvl w:val="0"/>
          <w:numId w:val="30"/>
        </w:numPr>
        <w:kinsoku/>
        <w:wordWrap/>
        <w:overflowPunct/>
        <w:topLinePunct w:val="0"/>
        <w:autoSpaceDE/>
        <w:autoSpaceDN/>
        <w:bidi w:val="0"/>
        <w:adjustRightInd/>
        <w:snapToGrid/>
        <w:ind w:firstLine="640"/>
        <w:jc w:val="left"/>
        <w:textAlignment w:val="auto"/>
        <w:rPr>
          <w:color w:val="auto"/>
        </w:rPr>
      </w:pPr>
      <w:r>
        <w:rPr>
          <w:rFonts w:hint="eastAsia"/>
          <w:color w:val="auto"/>
        </w:rPr>
        <w:t>社区内人行过街设施应优先采用平面过街方式，沿行人过街期望的最短路径布设人行横道。</w:t>
      </w:r>
    </w:p>
    <w:p w14:paraId="7D93AB88">
      <w:pPr>
        <w:keepNext w:val="0"/>
        <w:keepLines w:val="0"/>
        <w:pageBreakBefore w:val="0"/>
        <w:widowControl w:val="0"/>
        <w:numPr>
          <w:ilvl w:val="0"/>
          <w:numId w:val="30"/>
        </w:numPr>
        <w:kinsoku/>
        <w:wordWrap/>
        <w:overflowPunct/>
        <w:topLinePunct w:val="0"/>
        <w:autoSpaceDE/>
        <w:autoSpaceDN/>
        <w:bidi w:val="0"/>
        <w:adjustRightInd/>
        <w:snapToGrid/>
        <w:ind w:firstLine="640"/>
        <w:jc w:val="left"/>
        <w:textAlignment w:val="auto"/>
        <w:rPr>
          <w:color w:val="auto"/>
        </w:rPr>
      </w:pPr>
      <w:r>
        <w:rPr>
          <w:rFonts w:hint="eastAsia"/>
          <w:color w:val="auto"/>
        </w:rPr>
        <w:t>人行横道两端必须设置缘石坡道。在老年人高频活动场所周边，缘石坡道宜采用全宽式单面坡，坡口与车行道平顺连接，无高差。</w:t>
      </w:r>
    </w:p>
    <w:p w14:paraId="2528779E">
      <w:pPr>
        <w:keepNext w:val="0"/>
        <w:keepLines w:val="0"/>
        <w:pageBreakBefore w:val="0"/>
        <w:widowControl w:val="0"/>
        <w:numPr>
          <w:ilvl w:val="0"/>
          <w:numId w:val="30"/>
        </w:numPr>
        <w:kinsoku/>
        <w:wordWrap/>
        <w:overflowPunct/>
        <w:topLinePunct w:val="0"/>
        <w:autoSpaceDE/>
        <w:autoSpaceDN/>
        <w:bidi w:val="0"/>
        <w:adjustRightInd/>
        <w:snapToGrid/>
        <w:ind w:firstLine="640"/>
        <w:jc w:val="left"/>
        <w:textAlignment w:val="auto"/>
        <w:rPr>
          <w:color w:val="auto"/>
        </w:rPr>
      </w:pPr>
      <w:r>
        <w:rPr>
          <w:rFonts w:hint="eastAsia"/>
          <w:color w:val="auto"/>
        </w:rPr>
        <w:t>位于老年人高频活动场所周边的人行横道，应配建人行横道信号灯。信号灯配时可参考老年人步速0.6m/s~0.8m/s计算绿灯时长，并宜具备语音播报功能。</w:t>
      </w:r>
    </w:p>
    <w:p w14:paraId="1C81C1F1">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4.4.2.4 与城市系统衔接应满足下列要求：</w:t>
      </w:r>
    </w:p>
    <w:p w14:paraId="38F9F05A">
      <w:pPr>
        <w:keepNext w:val="0"/>
        <w:keepLines w:val="0"/>
        <w:pageBreakBefore w:val="0"/>
        <w:widowControl w:val="0"/>
        <w:numPr>
          <w:ilvl w:val="0"/>
          <w:numId w:val="31"/>
        </w:numPr>
        <w:kinsoku/>
        <w:wordWrap/>
        <w:overflowPunct/>
        <w:topLinePunct w:val="0"/>
        <w:autoSpaceDE/>
        <w:autoSpaceDN/>
        <w:bidi w:val="0"/>
        <w:adjustRightInd/>
        <w:snapToGrid/>
        <w:ind w:firstLine="640"/>
        <w:jc w:val="left"/>
        <w:textAlignment w:val="auto"/>
        <w:rPr>
          <w:color w:val="auto"/>
        </w:rPr>
      </w:pPr>
      <w:r>
        <w:rPr>
          <w:rFonts w:hint="eastAsia"/>
          <w:color w:val="auto"/>
        </w:rPr>
        <w:t>社区步行道应与城市绿道、公交站点实现直接、无障碍衔接，路径连续、便捷。</w:t>
      </w:r>
    </w:p>
    <w:p w14:paraId="67867034">
      <w:pPr>
        <w:keepNext w:val="0"/>
        <w:keepLines w:val="0"/>
        <w:pageBreakBefore w:val="0"/>
        <w:widowControl w:val="0"/>
        <w:numPr>
          <w:ilvl w:val="0"/>
          <w:numId w:val="31"/>
        </w:numPr>
        <w:kinsoku/>
        <w:wordWrap/>
        <w:overflowPunct/>
        <w:topLinePunct w:val="0"/>
        <w:autoSpaceDE/>
        <w:autoSpaceDN/>
        <w:bidi w:val="0"/>
        <w:adjustRightInd/>
        <w:snapToGrid/>
        <w:ind w:firstLine="640"/>
        <w:jc w:val="left"/>
        <w:textAlignment w:val="auto"/>
        <w:rPr>
          <w:color w:val="auto"/>
        </w:rPr>
      </w:pPr>
      <w:r>
        <w:rPr>
          <w:rFonts w:hint="eastAsia"/>
          <w:color w:val="auto"/>
        </w:rPr>
        <w:t>社区出入口附近的公交站台应进行适老化改造，包括设置无障碍坡道、提供老年人专属候车座椅及轮椅停放区。站牌信息应清晰易读。</w:t>
      </w:r>
    </w:p>
    <w:p w14:paraId="742DFC53">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停车及充电设施</w:t>
      </w:r>
    </w:p>
    <w:p w14:paraId="1F071006">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4.4.3.1 配建应满足下列要求：</w:t>
      </w:r>
    </w:p>
    <w:p w14:paraId="6CFE87D9">
      <w:pPr>
        <w:keepNext w:val="0"/>
        <w:keepLines w:val="0"/>
        <w:pageBreakBefore w:val="0"/>
        <w:widowControl w:val="0"/>
        <w:numPr>
          <w:ilvl w:val="0"/>
          <w:numId w:val="32"/>
        </w:numPr>
        <w:kinsoku/>
        <w:wordWrap/>
        <w:overflowPunct/>
        <w:topLinePunct w:val="0"/>
        <w:autoSpaceDE/>
        <w:autoSpaceDN/>
        <w:bidi w:val="0"/>
        <w:adjustRightInd/>
        <w:snapToGrid/>
        <w:ind w:firstLine="640"/>
        <w:jc w:val="left"/>
        <w:textAlignment w:val="auto"/>
        <w:rPr>
          <w:color w:val="auto"/>
        </w:rPr>
      </w:pPr>
      <w:r>
        <w:rPr>
          <w:rFonts w:hint="eastAsia"/>
          <w:color w:val="auto"/>
        </w:rPr>
        <w:t>停车位总数在100个以下时，无障碍车位不应少于1个。</w:t>
      </w:r>
    </w:p>
    <w:p w14:paraId="7BAE8F95">
      <w:pPr>
        <w:keepNext w:val="0"/>
        <w:keepLines w:val="0"/>
        <w:pageBreakBefore w:val="0"/>
        <w:widowControl w:val="0"/>
        <w:numPr>
          <w:ilvl w:val="0"/>
          <w:numId w:val="32"/>
        </w:numPr>
        <w:kinsoku/>
        <w:wordWrap/>
        <w:overflowPunct/>
        <w:topLinePunct w:val="0"/>
        <w:autoSpaceDE/>
        <w:autoSpaceDN/>
        <w:bidi w:val="0"/>
        <w:adjustRightInd/>
        <w:snapToGrid/>
        <w:ind w:firstLine="640"/>
        <w:jc w:val="left"/>
        <w:textAlignment w:val="auto"/>
        <w:rPr>
          <w:color w:val="auto"/>
        </w:rPr>
      </w:pPr>
      <w:r>
        <w:rPr>
          <w:rFonts w:hint="eastAsia"/>
          <w:color w:val="auto"/>
        </w:rPr>
        <w:t>停车位总数在100个以上时，无障碍车位不应少于总停车数的1%，且不应少于2个。</w:t>
      </w:r>
    </w:p>
    <w:p w14:paraId="72C73BCA">
      <w:pPr>
        <w:keepNext w:val="0"/>
        <w:keepLines w:val="0"/>
        <w:pageBreakBefore w:val="0"/>
        <w:widowControl w:val="0"/>
        <w:numPr>
          <w:ilvl w:val="0"/>
          <w:numId w:val="32"/>
        </w:numPr>
        <w:kinsoku/>
        <w:wordWrap/>
        <w:overflowPunct/>
        <w:topLinePunct w:val="0"/>
        <w:autoSpaceDE/>
        <w:autoSpaceDN/>
        <w:bidi w:val="0"/>
        <w:adjustRightInd/>
        <w:snapToGrid/>
        <w:ind w:firstLine="640"/>
        <w:jc w:val="left"/>
        <w:textAlignment w:val="auto"/>
        <w:rPr>
          <w:color w:val="auto"/>
        </w:rPr>
      </w:pPr>
      <w:r>
        <w:rPr>
          <w:rFonts w:hint="eastAsia"/>
          <w:color w:val="auto"/>
        </w:rPr>
        <w:t>对于社区卫生服务站、社区老年服务站、社区老年人活动中心、社区食堂等老年人高频使用的社区服务设施，其配套停车场（位）的无障碍车位配比宜提高至总停车数的3%</w:t>
      </w:r>
      <w:r>
        <w:rPr>
          <w:rFonts w:hint="eastAsia" w:ascii="仿宋" w:hAnsi="仿宋" w:eastAsia="仿宋" w:cs="仿宋"/>
          <w:b w:val="0"/>
          <w:bCs w:val="0"/>
          <w:color w:val="auto"/>
          <w:kern w:val="0"/>
          <w:sz w:val="32"/>
          <w:szCs w:val="32"/>
          <w:lang w:val="en-US" w:eastAsia="zh-CN" w:bidi="ar"/>
        </w:rPr>
        <w:t>～</w:t>
      </w:r>
      <w:r>
        <w:rPr>
          <w:rFonts w:hint="eastAsia"/>
          <w:color w:val="auto"/>
        </w:rPr>
        <w:t>5%。</w:t>
      </w:r>
    </w:p>
    <w:p w14:paraId="604DAD8A">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4.4.3.2 车位设计应满足下列要求：</w:t>
      </w:r>
    </w:p>
    <w:p w14:paraId="3F9E80E6">
      <w:pPr>
        <w:keepNext w:val="0"/>
        <w:keepLines w:val="0"/>
        <w:pageBreakBefore w:val="0"/>
        <w:widowControl w:val="0"/>
        <w:numPr>
          <w:ilvl w:val="0"/>
          <w:numId w:val="33"/>
        </w:numPr>
        <w:kinsoku/>
        <w:wordWrap/>
        <w:overflowPunct/>
        <w:topLinePunct w:val="0"/>
        <w:autoSpaceDE/>
        <w:autoSpaceDN/>
        <w:bidi w:val="0"/>
        <w:adjustRightInd/>
        <w:snapToGrid/>
        <w:ind w:firstLine="640"/>
        <w:jc w:val="left"/>
        <w:textAlignment w:val="auto"/>
        <w:rPr>
          <w:color w:val="auto"/>
        </w:rPr>
      </w:pPr>
      <w:r>
        <w:rPr>
          <w:rFonts w:hint="eastAsia"/>
          <w:color w:val="auto"/>
        </w:rPr>
        <w:t>无障碍机动车停车位一侧应设宽度不小于1.20m的轮椅通道，该通道应与停车线平行设置；相邻两个无障碍机动车停车位可共用一个轮椅通道。无障碍机动车停车位的总净宽度不应小于3.50m。</w:t>
      </w:r>
    </w:p>
    <w:p w14:paraId="7D3C12CB">
      <w:pPr>
        <w:keepNext w:val="0"/>
        <w:keepLines w:val="0"/>
        <w:pageBreakBefore w:val="0"/>
        <w:widowControl w:val="0"/>
        <w:numPr>
          <w:ilvl w:val="0"/>
          <w:numId w:val="33"/>
        </w:numPr>
        <w:kinsoku/>
        <w:wordWrap/>
        <w:overflowPunct/>
        <w:topLinePunct w:val="0"/>
        <w:autoSpaceDE/>
        <w:autoSpaceDN/>
        <w:bidi w:val="0"/>
        <w:adjustRightInd/>
        <w:snapToGrid/>
        <w:ind w:firstLine="640"/>
        <w:jc w:val="left"/>
        <w:textAlignment w:val="auto"/>
        <w:rPr>
          <w:color w:val="auto"/>
        </w:rPr>
      </w:pPr>
      <w:r>
        <w:rPr>
          <w:rFonts w:hint="eastAsia"/>
          <w:color w:val="auto"/>
        </w:rPr>
        <w:t>每个无障碍停车位地面应</w:t>
      </w:r>
      <w:r>
        <w:rPr>
          <w:color w:val="auto"/>
        </w:rPr>
        <w:t>设置国际通用无障碍（轮椅）标志，地面标识尺寸应清晰可辨。</w:t>
      </w:r>
      <w:r>
        <w:rPr>
          <w:rFonts w:hint="eastAsia"/>
          <w:color w:val="auto"/>
        </w:rPr>
        <w:t>相邻的轮椅通道应采用黄色网状线标识，并严禁其他车辆占用。</w:t>
      </w:r>
    </w:p>
    <w:p w14:paraId="04A9E95D">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4.4.3.3 位置与连接应满足下列要求：</w:t>
      </w:r>
    </w:p>
    <w:p w14:paraId="056A52C1">
      <w:pPr>
        <w:keepNext w:val="0"/>
        <w:keepLines w:val="0"/>
        <w:pageBreakBefore w:val="0"/>
        <w:widowControl w:val="0"/>
        <w:numPr>
          <w:ilvl w:val="0"/>
          <w:numId w:val="34"/>
        </w:numPr>
        <w:kinsoku/>
        <w:wordWrap/>
        <w:overflowPunct/>
        <w:topLinePunct w:val="0"/>
        <w:autoSpaceDE/>
        <w:autoSpaceDN/>
        <w:bidi w:val="0"/>
        <w:adjustRightInd/>
        <w:snapToGrid/>
        <w:ind w:firstLine="640"/>
        <w:jc w:val="left"/>
        <w:textAlignment w:val="auto"/>
        <w:rPr>
          <w:color w:val="auto"/>
        </w:rPr>
      </w:pPr>
      <w:r>
        <w:rPr>
          <w:rFonts w:hint="eastAsia"/>
          <w:color w:val="auto"/>
        </w:rPr>
        <w:t>无障碍车位应设置在距离停车场主出入口、社区服务建筑的无障碍出入口或电梯厅最近的位置，从车位到这些目的地的步行距离不宜超过50m。</w:t>
      </w:r>
    </w:p>
    <w:p w14:paraId="5AF571E8">
      <w:pPr>
        <w:keepNext w:val="0"/>
        <w:keepLines w:val="0"/>
        <w:pageBreakBefore w:val="0"/>
        <w:widowControl w:val="0"/>
        <w:numPr>
          <w:ilvl w:val="0"/>
          <w:numId w:val="34"/>
        </w:numPr>
        <w:kinsoku/>
        <w:wordWrap/>
        <w:overflowPunct/>
        <w:topLinePunct w:val="0"/>
        <w:autoSpaceDE/>
        <w:autoSpaceDN/>
        <w:bidi w:val="0"/>
        <w:adjustRightInd/>
        <w:snapToGrid/>
        <w:ind w:firstLineChars="0"/>
        <w:jc w:val="left"/>
        <w:textAlignment w:val="auto"/>
        <w:rPr>
          <w:color w:val="auto"/>
        </w:rPr>
      </w:pPr>
      <w:r>
        <w:rPr>
          <w:rFonts w:hint="eastAsia"/>
          <w:color w:val="auto"/>
        </w:rPr>
        <w:t>无障碍车位与建筑出入口之间，应设置连续的无障碍通行流线。连接通道的净宽不应小于1.20m；考虑到老年人及行动不便者的通行安全与回转需求，在社区适老化改造中，宜放宽至1.50m。</w:t>
      </w:r>
    </w:p>
    <w:p w14:paraId="151FA92D">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4.4.3.4 引导标识应满足下列要求：</w:t>
      </w:r>
    </w:p>
    <w:p w14:paraId="7AA9D94B">
      <w:pPr>
        <w:keepNext w:val="0"/>
        <w:keepLines w:val="0"/>
        <w:pageBreakBefore w:val="0"/>
        <w:widowControl w:val="0"/>
        <w:numPr>
          <w:ilvl w:val="0"/>
          <w:numId w:val="35"/>
        </w:numPr>
        <w:kinsoku/>
        <w:wordWrap/>
        <w:overflowPunct/>
        <w:topLinePunct w:val="0"/>
        <w:autoSpaceDE/>
        <w:autoSpaceDN/>
        <w:bidi w:val="0"/>
        <w:adjustRightInd/>
        <w:snapToGrid/>
        <w:ind w:firstLine="640"/>
        <w:jc w:val="left"/>
        <w:textAlignment w:val="auto"/>
        <w:rPr>
          <w:color w:val="auto"/>
        </w:rPr>
      </w:pPr>
      <w:r>
        <w:rPr>
          <w:rFonts w:hint="eastAsia"/>
          <w:color w:val="auto"/>
        </w:rPr>
        <w:t>停车场入口处应设置醒目的无障碍车位引导标志，清晰标明车位位置、数量及方向。</w:t>
      </w:r>
    </w:p>
    <w:p w14:paraId="61020A0E">
      <w:pPr>
        <w:keepNext w:val="0"/>
        <w:keepLines w:val="0"/>
        <w:pageBreakBefore w:val="0"/>
        <w:widowControl w:val="0"/>
        <w:numPr>
          <w:ilvl w:val="0"/>
          <w:numId w:val="35"/>
        </w:numPr>
        <w:kinsoku/>
        <w:wordWrap/>
        <w:overflowPunct/>
        <w:topLinePunct w:val="0"/>
        <w:autoSpaceDE/>
        <w:autoSpaceDN/>
        <w:bidi w:val="0"/>
        <w:adjustRightInd/>
        <w:snapToGrid/>
        <w:ind w:firstLine="640"/>
        <w:jc w:val="left"/>
        <w:textAlignment w:val="auto"/>
        <w:rPr>
          <w:color w:val="auto"/>
        </w:rPr>
      </w:pPr>
      <w:r>
        <w:rPr>
          <w:rFonts w:hint="eastAsia"/>
          <w:color w:val="auto"/>
        </w:rPr>
        <w:t>停车场内部应在主要通道的地面、墙面或立柱上，设置连续、清晰的无障碍车位引导标识系统，确保使用者能够便捷、直接地抵达车位，无需绕行。</w:t>
      </w:r>
    </w:p>
    <w:p w14:paraId="2648A603">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4.4.3.5 车位标牌应满足下列要求：</w:t>
      </w:r>
    </w:p>
    <w:p w14:paraId="4C157C48">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每个无障碍车位应在车位后方或侧方设置专用的标牌，标牌高度</w:t>
      </w:r>
      <w:r>
        <w:rPr>
          <w:color w:val="auto"/>
        </w:rPr>
        <w:t>宜为0.9m~1.1m</w:t>
      </w:r>
      <w:r>
        <w:rPr>
          <w:rFonts w:hint="eastAsia"/>
          <w:color w:val="auto"/>
        </w:rPr>
        <w:t>。标牌应采用蓝底白字的高反光材质，并附带轮椅图案及“无障碍车位”或“专用车位”字样，确保夜间也能清晰识别。</w:t>
      </w:r>
    </w:p>
    <w:p w14:paraId="6F4DC306">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4.4.3.6 智慧服务与应急保障应满足下列要求：</w:t>
      </w:r>
    </w:p>
    <w:p w14:paraId="153FBA76">
      <w:pPr>
        <w:keepNext w:val="0"/>
        <w:keepLines w:val="0"/>
        <w:pageBreakBefore w:val="0"/>
        <w:widowControl w:val="0"/>
        <w:numPr>
          <w:ilvl w:val="0"/>
          <w:numId w:val="36"/>
        </w:numPr>
        <w:kinsoku/>
        <w:wordWrap/>
        <w:overflowPunct/>
        <w:topLinePunct w:val="0"/>
        <w:autoSpaceDE/>
        <w:autoSpaceDN/>
        <w:bidi w:val="0"/>
        <w:adjustRightInd/>
        <w:snapToGrid/>
        <w:ind w:firstLine="640"/>
        <w:jc w:val="left"/>
        <w:textAlignment w:val="auto"/>
        <w:rPr>
          <w:color w:val="auto"/>
        </w:rPr>
      </w:pPr>
      <w:r>
        <w:rPr>
          <w:rFonts w:hint="eastAsia"/>
          <w:color w:val="auto"/>
        </w:rPr>
        <w:t>对于规模较大的社区公共停车场，鼓励设置无障碍车位预约系统或余位显示系统，可通过社区智慧服务平台、手机小程序或入口显示屏，实时显示车位占用情况。</w:t>
      </w:r>
    </w:p>
    <w:p w14:paraId="48E10F51">
      <w:pPr>
        <w:keepNext w:val="0"/>
        <w:keepLines w:val="0"/>
        <w:pageBreakBefore w:val="0"/>
        <w:widowControl w:val="0"/>
        <w:numPr>
          <w:ilvl w:val="0"/>
          <w:numId w:val="36"/>
        </w:numPr>
        <w:kinsoku/>
        <w:wordWrap/>
        <w:overflowPunct/>
        <w:topLinePunct w:val="0"/>
        <w:autoSpaceDE/>
        <w:autoSpaceDN/>
        <w:bidi w:val="0"/>
        <w:adjustRightInd/>
        <w:snapToGrid/>
        <w:ind w:firstLine="640"/>
        <w:jc w:val="left"/>
        <w:textAlignment w:val="auto"/>
        <w:rPr>
          <w:color w:val="auto"/>
        </w:rPr>
      </w:pPr>
      <w:r>
        <w:rPr>
          <w:rFonts w:hint="eastAsia"/>
          <w:color w:val="auto"/>
        </w:rPr>
        <w:t>鼓励在无障碍车位旁设置呼叫按钮或一键求助设施，并与社区物业或安保中心联网，便于老年人在需要时能及时寻求帮助。</w:t>
      </w:r>
    </w:p>
    <w:p w14:paraId="7D157714">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4.4.3.7 临时停靠区应满足下列要求：</w:t>
      </w:r>
    </w:p>
    <w:p w14:paraId="3B86469B">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在社区卫生服务站、社区老年服务站、社区食堂等老年人高频上下车的地点，应结合社区道路，设置即停即走的临时停靠区。该区域应施划黄色虚线，并设置“老年人上下车点”标识。临时停靠区应与缘石坡道无缝衔接，确保上下车位置地面平整，有条件的宜设置雨棚或遮阳设施。</w:t>
      </w:r>
    </w:p>
    <w:p w14:paraId="294F8A64">
      <w:pPr>
        <w:keepNext w:val="0"/>
        <w:keepLines w:val="0"/>
        <w:pageBreakBefore w:val="0"/>
        <w:widowControl w:val="0"/>
        <w:kinsoku/>
        <w:wordWrap/>
        <w:overflowPunct/>
        <w:topLinePunct w:val="0"/>
        <w:autoSpaceDE/>
        <w:autoSpaceDN/>
        <w:bidi w:val="0"/>
        <w:ind w:firstLine="640"/>
        <w:textAlignment w:val="auto"/>
        <w:rPr>
          <w:color w:val="auto"/>
        </w:rPr>
      </w:pPr>
      <w:r>
        <w:rPr>
          <w:rFonts w:hint="eastAsia"/>
          <w:color w:val="auto"/>
        </w:rPr>
        <w:t>4.4.3.8 非机动车停车及充电设施应满足下列要求：</w:t>
      </w:r>
    </w:p>
    <w:p w14:paraId="6B7CEF40">
      <w:pPr>
        <w:keepNext w:val="0"/>
        <w:keepLines w:val="0"/>
        <w:pageBreakBefore w:val="0"/>
        <w:widowControl w:val="0"/>
        <w:numPr>
          <w:ilvl w:val="0"/>
          <w:numId w:val="37"/>
        </w:numPr>
        <w:kinsoku/>
        <w:wordWrap/>
        <w:overflowPunct/>
        <w:topLinePunct w:val="0"/>
        <w:autoSpaceDE/>
        <w:autoSpaceDN/>
        <w:bidi w:val="0"/>
        <w:adjustRightInd/>
        <w:snapToGrid/>
        <w:ind w:firstLine="640"/>
        <w:jc w:val="left"/>
        <w:textAlignment w:val="auto"/>
        <w:rPr>
          <w:color w:val="auto"/>
        </w:rPr>
      </w:pPr>
      <w:r>
        <w:rPr>
          <w:rFonts w:hint="eastAsia"/>
          <w:color w:val="auto"/>
        </w:rPr>
        <w:t>社区应合理规划并集中设置遮阳避雨的非机动车（含电动自行车）停车棚。</w:t>
      </w:r>
    </w:p>
    <w:p w14:paraId="32F34AAF">
      <w:pPr>
        <w:keepNext w:val="0"/>
        <w:keepLines w:val="0"/>
        <w:pageBreakBefore w:val="0"/>
        <w:widowControl w:val="0"/>
        <w:numPr>
          <w:ilvl w:val="0"/>
          <w:numId w:val="37"/>
        </w:numPr>
        <w:kinsoku/>
        <w:wordWrap/>
        <w:overflowPunct/>
        <w:topLinePunct w:val="0"/>
        <w:autoSpaceDE/>
        <w:autoSpaceDN/>
        <w:bidi w:val="0"/>
        <w:adjustRightInd/>
        <w:snapToGrid/>
        <w:ind w:firstLine="640"/>
        <w:jc w:val="left"/>
        <w:textAlignment w:val="auto"/>
        <w:rPr>
          <w:color w:val="auto"/>
        </w:rPr>
      </w:pPr>
      <w:r>
        <w:rPr>
          <w:rFonts w:hint="eastAsia"/>
          <w:color w:val="auto"/>
        </w:rPr>
        <w:t>停车棚应配套建设安全的充电设施，设施需具备过载保护、自动断电等功能。充电设施的操作界面应简洁明了，支付方式应考虑老年人使用习惯（如支持刷卡、扫码等）。</w:t>
      </w:r>
    </w:p>
    <w:p w14:paraId="3A84ECB9">
      <w:pPr>
        <w:keepNext w:val="0"/>
        <w:keepLines w:val="0"/>
        <w:pageBreakBefore w:val="0"/>
        <w:widowControl w:val="0"/>
        <w:numPr>
          <w:ilvl w:val="0"/>
          <w:numId w:val="37"/>
        </w:numPr>
        <w:kinsoku/>
        <w:wordWrap/>
        <w:overflowPunct/>
        <w:topLinePunct w:val="0"/>
        <w:autoSpaceDE/>
        <w:autoSpaceDN/>
        <w:bidi w:val="0"/>
        <w:adjustRightInd/>
        <w:snapToGrid/>
        <w:ind w:firstLine="640"/>
        <w:jc w:val="left"/>
        <w:textAlignment w:val="auto"/>
        <w:rPr>
          <w:color w:val="auto"/>
        </w:rPr>
      </w:pPr>
      <w:r>
        <w:rPr>
          <w:rFonts w:hint="eastAsia"/>
          <w:color w:val="auto"/>
        </w:rPr>
        <w:t>非机动车应规范停放，严禁侵占无障碍通道、消防通道、公共步行空间及建筑主要出入口。</w:t>
      </w:r>
    </w:p>
    <w:p w14:paraId="67733825">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环境卫生设施</w:t>
      </w:r>
    </w:p>
    <w:p w14:paraId="23631F5E">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4.4.4.1</w:t>
      </w:r>
      <w:r>
        <w:rPr>
          <w:rFonts w:hint="eastAsia"/>
          <w:color w:val="auto"/>
        </w:rPr>
        <w:t>垃圾分类投放点</w:t>
      </w:r>
      <w:r>
        <w:rPr>
          <w:rFonts w:hint="eastAsia"/>
          <w:color w:val="auto"/>
          <w:lang w:val="en-US" w:eastAsia="zh-CN"/>
        </w:rPr>
        <w:t>改造</w:t>
      </w:r>
      <w:r>
        <w:rPr>
          <w:rFonts w:hint="eastAsia"/>
          <w:color w:val="auto"/>
        </w:rPr>
        <w:t>应</w:t>
      </w:r>
      <w:r>
        <w:rPr>
          <w:rFonts w:hint="eastAsia"/>
          <w:color w:val="auto"/>
          <w:lang w:val="en-US" w:eastAsia="zh-CN"/>
        </w:rPr>
        <w:t>满足下列要求</w:t>
      </w:r>
      <w:r>
        <w:rPr>
          <w:rFonts w:hint="eastAsia"/>
          <w:color w:val="auto"/>
        </w:rPr>
        <w:t>：</w:t>
      </w:r>
    </w:p>
    <w:p w14:paraId="02B3D2F9">
      <w:pPr>
        <w:keepNext w:val="0"/>
        <w:keepLines w:val="0"/>
        <w:pageBreakBefore w:val="0"/>
        <w:widowControl w:val="0"/>
        <w:numPr>
          <w:ilvl w:val="0"/>
          <w:numId w:val="3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rPr>
        <w:t>垃圾分类投放点</w:t>
      </w:r>
      <w:r>
        <w:rPr>
          <w:rFonts w:hint="eastAsia"/>
          <w:color w:val="auto"/>
          <w:lang w:val="en-US" w:eastAsia="zh-CN"/>
        </w:rPr>
        <w:t>应布局合理、高度适宜，便于轮椅接近和老年人投放垃圾。</w:t>
      </w:r>
    </w:p>
    <w:p w14:paraId="142CF098">
      <w:pPr>
        <w:keepNext w:val="0"/>
        <w:keepLines w:val="0"/>
        <w:pageBreakBefore w:val="0"/>
        <w:widowControl w:val="0"/>
        <w:numPr>
          <w:ilvl w:val="0"/>
          <w:numId w:val="3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垃圾分类投放点应设置垃圾分类告示牌，箱（房）体应标明统一规范、清晰醒目的生活垃圾分类标志，方便老年人辨识并正确投放垃圾</w:t>
      </w:r>
      <w:r>
        <w:rPr>
          <w:rFonts w:hint="eastAsia"/>
          <w:color w:val="auto"/>
          <w:lang w:eastAsia="zh-CN"/>
        </w:rPr>
        <w:t>。</w:t>
      </w:r>
    </w:p>
    <w:p w14:paraId="4F1CA636">
      <w:pPr>
        <w:keepNext w:val="0"/>
        <w:keepLines w:val="0"/>
        <w:pageBreakBefore w:val="0"/>
        <w:widowControl w:val="0"/>
        <w:numPr>
          <w:ilvl w:val="0"/>
          <w:numId w:val="38"/>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垃圾分类投放点附近路面铺设材料应防滑、耐磨、不积水。</w:t>
      </w:r>
    </w:p>
    <w:p w14:paraId="330CBB41">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4.4.4.2</w:t>
      </w:r>
      <w:r>
        <w:rPr>
          <w:rFonts w:hint="eastAsia"/>
          <w:color w:val="auto"/>
        </w:rPr>
        <w:t>公共厕所</w:t>
      </w:r>
      <w:r>
        <w:rPr>
          <w:rFonts w:hint="eastAsia"/>
          <w:color w:val="auto"/>
          <w:lang w:val="en-US" w:eastAsia="zh-CN"/>
        </w:rPr>
        <w:t>改造</w:t>
      </w:r>
      <w:r>
        <w:rPr>
          <w:rFonts w:hint="eastAsia"/>
          <w:color w:val="auto"/>
        </w:rPr>
        <w:t>应</w:t>
      </w:r>
      <w:r>
        <w:rPr>
          <w:rFonts w:hint="eastAsia"/>
          <w:color w:val="auto"/>
          <w:lang w:val="en-US" w:eastAsia="zh-CN"/>
        </w:rPr>
        <w:t>满足下列要求</w:t>
      </w:r>
      <w:r>
        <w:rPr>
          <w:rFonts w:hint="eastAsia"/>
          <w:color w:val="auto"/>
        </w:rPr>
        <w:t>：</w:t>
      </w:r>
    </w:p>
    <w:p w14:paraId="49FAE8B5">
      <w:pPr>
        <w:keepNext w:val="0"/>
        <w:keepLines w:val="0"/>
        <w:pageBreakBefore w:val="0"/>
        <w:widowControl w:val="0"/>
        <w:numPr>
          <w:ilvl w:val="0"/>
          <w:numId w:val="3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应设置在公共活动场地、老年服务站、社区卫生服务站等老年人高频活动区域附近，并有明显标识</w:t>
      </w:r>
      <w:r>
        <w:rPr>
          <w:rFonts w:hint="eastAsia"/>
          <w:color w:val="auto"/>
          <w:lang w:eastAsia="zh-CN"/>
        </w:rPr>
        <w:t>。</w:t>
      </w:r>
    </w:p>
    <w:p w14:paraId="657641D7">
      <w:pPr>
        <w:keepNext w:val="0"/>
        <w:keepLines w:val="0"/>
        <w:pageBreakBefore w:val="0"/>
        <w:widowControl w:val="0"/>
        <w:numPr>
          <w:ilvl w:val="0"/>
          <w:numId w:val="39"/>
        </w:numPr>
        <w:kinsoku/>
        <w:wordWrap/>
        <w:overflowPunct/>
        <w:topLinePunct w:val="0"/>
        <w:autoSpaceDE/>
        <w:autoSpaceDN/>
        <w:bidi w:val="0"/>
        <w:textAlignment w:val="auto"/>
        <w:rPr>
          <w:rFonts w:hint="eastAsia"/>
          <w:color w:val="auto"/>
        </w:rPr>
      </w:pPr>
      <w:r>
        <w:rPr>
          <w:rFonts w:hint="eastAsia"/>
          <w:color w:val="auto"/>
        </w:rPr>
        <w:t>应</w:t>
      </w:r>
      <w:r>
        <w:rPr>
          <w:rFonts w:hint="eastAsia"/>
          <w:color w:val="auto"/>
          <w:lang w:val="en-US" w:eastAsia="zh-CN"/>
        </w:rPr>
        <w:t>配置无障碍卫生间或</w:t>
      </w:r>
      <w:r>
        <w:rPr>
          <w:rFonts w:hint="eastAsia"/>
          <w:color w:val="auto"/>
        </w:rPr>
        <w:t>无障碍</w:t>
      </w:r>
      <w:r>
        <w:rPr>
          <w:rFonts w:hint="eastAsia"/>
          <w:color w:val="auto"/>
          <w:lang w:val="en-US" w:eastAsia="zh-CN"/>
        </w:rPr>
        <w:t>厕位，无障碍厕位应方便乘轮椅者达到和进出，尺寸不小于1.80m×1.50m；</w:t>
      </w:r>
      <w:r>
        <w:rPr>
          <w:rFonts w:hint="eastAsia"/>
          <w:color w:val="auto"/>
        </w:rPr>
        <w:t>如采用向内开启的平开门，应在开启后厕位内留有直径不小于1.50m的轮椅回转空间，并应采用门外可紧急开启的门闩</w:t>
      </w:r>
      <w:r>
        <w:rPr>
          <w:rFonts w:hint="eastAsia"/>
          <w:color w:val="auto"/>
          <w:lang w:eastAsia="zh-CN"/>
        </w:rPr>
        <w:t>。</w:t>
      </w:r>
    </w:p>
    <w:p w14:paraId="5F11CB2F">
      <w:pPr>
        <w:keepNext w:val="0"/>
        <w:keepLines w:val="0"/>
        <w:pageBreakBefore w:val="0"/>
        <w:widowControl w:val="0"/>
        <w:numPr>
          <w:ilvl w:val="0"/>
          <w:numId w:val="39"/>
        </w:numPr>
        <w:kinsoku/>
        <w:wordWrap/>
        <w:overflowPunct/>
        <w:topLinePunct w:val="0"/>
        <w:autoSpaceDE/>
        <w:autoSpaceDN/>
        <w:bidi w:val="0"/>
        <w:textAlignment w:val="auto"/>
        <w:rPr>
          <w:rFonts w:hint="eastAsia"/>
          <w:color w:val="auto"/>
        </w:rPr>
      </w:pPr>
      <w:r>
        <w:rPr>
          <w:rFonts w:hint="eastAsia"/>
          <w:color w:val="auto"/>
          <w:lang w:eastAsia="zh-CN"/>
        </w:rPr>
        <w:t>内部应设置无障碍坐便器、无障碍洗手盆、多功能台、低位挂衣钩和</w:t>
      </w:r>
      <w:r>
        <w:rPr>
          <w:rFonts w:hint="eastAsia"/>
          <w:color w:val="auto"/>
          <w:lang w:val="en-US" w:eastAsia="zh-CN"/>
        </w:rPr>
        <w:t>紧急</w:t>
      </w:r>
      <w:r>
        <w:rPr>
          <w:rFonts w:hint="eastAsia"/>
          <w:color w:val="auto"/>
          <w:lang w:eastAsia="zh-CN"/>
        </w:rPr>
        <w:t>呼叫装置。</w:t>
      </w:r>
    </w:p>
    <w:p w14:paraId="5A0CF4EB">
      <w:pPr>
        <w:keepNext w:val="0"/>
        <w:keepLines w:val="0"/>
        <w:pageBreakBefore w:val="0"/>
        <w:widowControl w:val="0"/>
        <w:numPr>
          <w:ilvl w:val="0"/>
          <w:numId w:val="39"/>
        </w:numPr>
        <w:kinsoku/>
        <w:wordWrap/>
        <w:overflowPunct/>
        <w:topLinePunct w:val="0"/>
        <w:autoSpaceDE/>
        <w:autoSpaceDN/>
        <w:bidi w:val="0"/>
        <w:textAlignment w:val="auto"/>
        <w:rPr>
          <w:rFonts w:hint="eastAsia"/>
          <w:color w:val="auto"/>
        </w:rPr>
      </w:pPr>
      <w:r>
        <w:rPr>
          <w:rFonts w:hint="eastAsia"/>
          <w:color w:val="auto"/>
        </w:rPr>
        <w:t>卫生间地面与相邻房间室内地坪不宜有高差</w:t>
      </w:r>
      <w:r>
        <w:rPr>
          <w:rFonts w:hint="eastAsia"/>
          <w:color w:val="auto"/>
          <w:lang w:eastAsia="zh-CN"/>
        </w:rPr>
        <w:t>；</w:t>
      </w:r>
      <w:r>
        <w:rPr>
          <w:rFonts w:hint="eastAsia"/>
          <w:color w:val="auto"/>
        </w:rPr>
        <w:t>当有不可避免的高差时</w:t>
      </w:r>
      <w:r>
        <w:rPr>
          <w:rFonts w:hint="eastAsia"/>
          <w:color w:val="auto"/>
          <w:lang w:eastAsia="zh-CN"/>
        </w:rPr>
        <w:t>，</w:t>
      </w:r>
      <w:r>
        <w:rPr>
          <w:rFonts w:hint="eastAsia"/>
          <w:color w:val="auto"/>
        </w:rPr>
        <w:t>不宜大于0.015m</w:t>
      </w:r>
      <w:r>
        <w:rPr>
          <w:rFonts w:hint="eastAsia"/>
          <w:color w:val="auto"/>
          <w:lang w:eastAsia="zh-CN"/>
        </w:rPr>
        <w:t>，</w:t>
      </w:r>
      <w:r>
        <w:rPr>
          <w:rFonts w:hint="eastAsia"/>
          <w:color w:val="auto"/>
        </w:rPr>
        <w:t>且以斜坡过渡。</w:t>
      </w:r>
    </w:p>
    <w:p w14:paraId="493278C3">
      <w:pPr>
        <w:keepNext w:val="0"/>
        <w:keepLines w:val="0"/>
        <w:pageBreakBefore w:val="0"/>
        <w:widowControl w:val="0"/>
        <w:numPr>
          <w:ilvl w:val="0"/>
          <w:numId w:val="3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墙面应采用光滑便于清洗的材料；地面应采用防渗、防滑材料铺设，坡度应平缓。</w:t>
      </w:r>
    </w:p>
    <w:p w14:paraId="40AE8E00">
      <w:pPr>
        <w:keepNext w:val="0"/>
        <w:keepLines w:val="0"/>
        <w:pageBreakBefore w:val="0"/>
        <w:widowControl w:val="0"/>
        <w:numPr>
          <w:ilvl w:val="0"/>
          <w:numId w:val="39"/>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rPr>
      </w:pPr>
      <w:r>
        <w:rPr>
          <w:rFonts w:hint="eastAsia"/>
          <w:color w:val="auto"/>
        </w:rPr>
        <w:t>在现状空间、结构、管线及场地条件受限，无法实施大规模拆改与整体翻新的前提下，社区公共厕所应采用微改造、装配式、低成本适老化优化方式。优先消除地面高差隐患，合理清理通行障碍物，优化门扇开启形式，拓宽有效通行空间</w:t>
      </w:r>
      <w:r>
        <w:rPr>
          <w:rFonts w:hint="eastAsia"/>
          <w:color w:val="auto"/>
          <w:lang w:eastAsia="zh-CN"/>
        </w:rPr>
        <w:t>；</w:t>
      </w:r>
      <w:r>
        <w:rPr>
          <w:rFonts w:hint="eastAsia"/>
          <w:color w:val="auto"/>
        </w:rPr>
        <w:t>因地制宜选取现有宽敞隔间改造为简易适老厕位</w:t>
      </w:r>
      <w:r>
        <w:rPr>
          <w:rFonts w:hint="eastAsia"/>
          <w:color w:val="auto"/>
          <w:lang w:eastAsia="zh-CN"/>
        </w:rPr>
        <w:t>，</w:t>
      </w:r>
      <w:r>
        <w:rPr>
          <w:rFonts w:hint="eastAsia"/>
          <w:color w:val="auto"/>
        </w:rPr>
        <w:t>最大化满足老年人安全如厕、便捷使用的基本适老需求。</w:t>
      </w:r>
    </w:p>
    <w:p w14:paraId="69CA1DF6">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rPr>
      </w:pPr>
      <w:bookmarkStart w:id="9" w:name="_Toc14897"/>
      <w:r>
        <w:rPr>
          <w:rFonts w:hint="eastAsia"/>
          <w:color w:val="auto"/>
          <w:lang w:val="en-US" w:eastAsia="zh-CN"/>
        </w:rPr>
        <w:t>社区治理与服务</w:t>
      </w:r>
      <w:r>
        <w:rPr>
          <w:rFonts w:hint="eastAsia"/>
          <w:color w:val="auto"/>
        </w:rPr>
        <w:t>适老化</w:t>
      </w:r>
      <w:r>
        <w:rPr>
          <w:rFonts w:hint="eastAsia"/>
          <w:color w:val="auto"/>
          <w:lang w:val="en-US" w:eastAsia="zh-CN"/>
        </w:rPr>
        <w:t>改造</w:t>
      </w:r>
      <w:bookmarkEnd w:id="9"/>
    </w:p>
    <w:p w14:paraId="2C4C5272">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物业服务</w:t>
      </w:r>
    </w:p>
    <w:p w14:paraId="17288B47">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4.5.1.1 物业助老服务</w:t>
      </w:r>
    </w:p>
    <w:p w14:paraId="13C59CA9">
      <w:pPr>
        <w:keepNext w:val="0"/>
        <w:keepLines w:val="0"/>
        <w:pageBreakBefore w:val="0"/>
        <w:widowControl w:val="0"/>
        <w:numPr>
          <w:ilvl w:val="0"/>
          <w:numId w:val="4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支持物业服务企业拓展居家养老服务，包括但不限于：助餐送餐、代购代缴、家电维修、房屋小修、陪医取药、理发清洁等。</w:t>
      </w:r>
    </w:p>
    <w:p w14:paraId="614CFE34">
      <w:pPr>
        <w:keepNext w:val="0"/>
        <w:keepLines w:val="0"/>
        <w:pageBreakBefore w:val="0"/>
        <w:widowControl w:val="0"/>
        <w:numPr>
          <w:ilvl w:val="0"/>
          <w:numId w:val="4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鼓励物业整合专业养老机构、社区卫生服务站、餐饮企业等多方资源，形成“公益性服务与市场化运营相结合”的助老服务模式，通过资源整合、服务下沉、价格优惠、响应及时等举措，让老年人在社区内就能享受到便利、多元、有温度的服务。</w:t>
      </w:r>
    </w:p>
    <w:p w14:paraId="7A4BBE35">
      <w:pPr>
        <w:keepNext w:val="0"/>
        <w:keepLines w:val="0"/>
        <w:pageBreakBefore w:val="0"/>
        <w:widowControl w:val="0"/>
        <w:numPr>
          <w:ilvl w:val="0"/>
          <w:numId w:val="40"/>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鼓励物业服务企业联合社区建立老年人关爱台账，对社区内独居、空巢、失能、高龄等特殊老年群体进行登记造册，制定定期巡访计划（每周不少于一次电话或入户），并记录服务情况。</w:t>
      </w:r>
    </w:p>
    <w:p w14:paraId="2AD8B6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200" w:right="0" w:rightChars="0"/>
        <w:jc w:val="left"/>
        <w:textAlignment w:val="auto"/>
        <w:rPr>
          <w:rFonts w:hint="eastAsia"/>
          <w:color w:val="auto"/>
          <w:lang w:val="en-US" w:eastAsia="zh-CN"/>
        </w:rPr>
      </w:pPr>
      <w:r>
        <w:rPr>
          <w:rFonts w:hint="eastAsia"/>
          <w:color w:val="auto"/>
          <w:lang w:val="en-US" w:eastAsia="zh-CN"/>
        </w:rPr>
        <w:t>4.5.1.2物业人员服务能力</w:t>
      </w:r>
    </w:p>
    <w:p w14:paraId="15ED707B">
      <w:pPr>
        <w:keepNext w:val="0"/>
        <w:keepLines w:val="0"/>
        <w:pageBreakBefore w:val="0"/>
        <w:widowControl w:val="0"/>
        <w:numPr>
          <w:ilvl w:val="0"/>
          <w:numId w:val="4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鼓励服务物业企业对员工开展适老化服务基础培训，培训内容可包括老年人生理心理特点、基础急救知识与技能、轮椅及助行器辅助操作、老年人沟通技巧、独居老人安全巡访要点等。</w:t>
      </w:r>
    </w:p>
    <w:p w14:paraId="1667ED8F">
      <w:pPr>
        <w:keepNext w:val="0"/>
        <w:keepLines w:val="0"/>
        <w:pageBreakBefore w:val="0"/>
        <w:widowControl w:val="0"/>
        <w:numPr>
          <w:ilvl w:val="0"/>
          <w:numId w:val="41"/>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鼓励物业服务企业设立“养老领事”或“老年服务专员”岗位，专职负责社区老年人服务需求的收集、响应与协调。</w:t>
      </w:r>
    </w:p>
    <w:p w14:paraId="396921C3">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lang w:val="en-US" w:eastAsia="zh-CN"/>
        </w:rPr>
        <w:t>社区</w:t>
      </w:r>
      <w:r>
        <w:rPr>
          <w:rFonts w:hint="eastAsia"/>
          <w:color w:val="auto"/>
        </w:rPr>
        <w:t>管理机制</w:t>
      </w:r>
    </w:p>
    <w:p w14:paraId="410BB87F">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4.5.2.1 一般规定</w:t>
      </w:r>
    </w:p>
    <w:p w14:paraId="102645E2">
      <w:pPr>
        <w:keepNext w:val="0"/>
        <w:keepLines w:val="0"/>
        <w:pageBreakBefore w:val="0"/>
        <w:widowControl w:val="0"/>
        <w:numPr>
          <w:ilvl w:val="0"/>
          <w:numId w:val="4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坚持党建引领、多方参与、共建共治共享，构建响应快捷、服务精准、运行规范的老年友好型社区治理机制。</w:t>
      </w:r>
    </w:p>
    <w:p w14:paraId="3F8AB3C1">
      <w:pPr>
        <w:keepNext w:val="0"/>
        <w:keepLines w:val="0"/>
        <w:pageBreakBefore w:val="0"/>
        <w:widowControl w:val="0"/>
        <w:numPr>
          <w:ilvl w:val="0"/>
          <w:numId w:val="4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突出老年主体地位，保障老年人在社区事务中的知情权、参与权、表达权、监督权。</w:t>
      </w:r>
    </w:p>
    <w:p w14:paraId="3E40CCF2">
      <w:pPr>
        <w:keepNext w:val="0"/>
        <w:keepLines w:val="0"/>
        <w:pageBreakBefore w:val="0"/>
        <w:widowControl w:val="0"/>
        <w:numPr>
          <w:ilvl w:val="0"/>
          <w:numId w:val="42"/>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建立需求收集、议事协商、诉求办理、评价反馈、长效管护的全流程闭环管理体系。</w:t>
      </w:r>
    </w:p>
    <w:p w14:paraId="257D0355">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4.5.2.1 老年群体参与机制</w:t>
      </w:r>
    </w:p>
    <w:p w14:paraId="436B22B0">
      <w:pPr>
        <w:keepNext w:val="0"/>
        <w:keepLines w:val="0"/>
        <w:pageBreakBefore w:val="0"/>
        <w:widowControl w:val="0"/>
        <w:numPr>
          <w:ilvl w:val="0"/>
          <w:numId w:val="4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建立老年议事会、老年监事会、老年顾问团等参与平台，保障老年人在社区适老化改造、设施配置、服务供给、环境提升等事项上的知情权、参与权、决策权与监督权。</w:t>
      </w:r>
    </w:p>
    <w:p w14:paraId="1C353F57">
      <w:pPr>
        <w:keepNext w:val="0"/>
        <w:keepLines w:val="0"/>
        <w:pageBreakBefore w:val="0"/>
        <w:widowControl w:val="0"/>
        <w:numPr>
          <w:ilvl w:val="0"/>
          <w:numId w:val="4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采取入户走访、议事协商、座谈访谈、简易问卷、邻里恳谈会等适老方式，常态化摸排老年人需求，形成需求清单、项目清单、责任清单、效果清单，确保决策贴合老年群体实际。</w:t>
      </w:r>
    </w:p>
    <w:p w14:paraId="67EB0518">
      <w:pPr>
        <w:keepNext w:val="0"/>
        <w:keepLines w:val="0"/>
        <w:pageBreakBefore w:val="0"/>
        <w:widowControl w:val="0"/>
        <w:numPr>
          <w:ilvl w:val="0"/>
          <w:numId w:val="43"/>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鼓励老年人担任适老化监督员、设施管护员、文明劝导员、活动组织者，引导老年群体自我服务、自我监督、自我提升。</w:t>
      </w:r>
    </w:p>
    <w:p w14:paraId="74AE33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200" w:right="0" w:rightChars="0"/>
        <w:jc w:val="left"/>
        <w:textAlignment w:val="auto"/>
        <w:rPr>
          <w:rFonts w:hint="eastAsia"/>
          <w:color w:val="auto"/>
          <w:lang w:val="en-US" w:eastAsia="zh-CN"/>
        </w:rPr>
      </w:pPr>
      <w:r>
        <w:rPr>
          <w:rFonts w:hint="eastAsia"/>
          <w:color w:val="auto"/>
          <w:lang w:val="en-US" w:eastAsia="zh-CN"/>
        </w:rPr>
        <w:t>4.5.2.2 老年人诉求响应与闭环处置机制</w:t>
      </w:r>
    </w:p>
    <w:p w14:paraId="63B8B6C7">
      <w:pPr>
        <w:keepNext w:val="0"/>
        <w:keepLines w:val="0"/>
        <w:pageBreakBefore w:val="0"/>
        <w:widowControl w:val="0"/>
        <w:numPr>
          <w:ilvl w:val="0"/>
          <w:numId w:val="4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开通社区服务热线、物业助老专线、网格员上门受理、线上报事、紧急呼叫等便捷渠道，实现老年人求助、报修、投诉、建议就近可办。</w:t>
      </w:r>
    </w:p>
    <w:p w14:paraId="4A4D016F">
      <w:pPr>
        <w:keepNext w:val="0"/>
        <w:keepLines w:val="0"/>
        <w:pageBreakBefore w:val="0"/>
        <w:widowControl w:val="0"/>
        <w:numPr>
          <w:ilvl w:val="0"/>
          <w:numId w:val="4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对老年人反映的设施故障、安全隐患、服务问题、生活困难等，统一登记建档、分类派单、限时办理，确保事事有回音、件件有着落。</w:t>
      </w:r>
    </w:p>
    <w:p w14:paraId="53AE45FF">
      <w:pPr>
        <w:keepNext w:val="0"/>
        <w:keepLines w:val="0"/>
        <w:pageBreakBefore w:val="0"/>
        <w:widowControl w:val="0"/>
        <w:numPr>
          <w:ilvl w:val="0"/>
          <w:numId w:val="4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依据反映事项的轻重缓急与复杂程度，明确相应的响应与办理时限。</w:t>
      </w:r>
    </w:p>
    <w:p w14:paraId="0C3A8888">
      <w:pPr>
        <w:keepNext w:val="0"/>
        <w:keepLines w:val="0"/>
        <w:pageBreakBefore w:val="0"/>
        <w:widowControl w:val="0"/>
        <w:numPr>
          <w:ilvl w:val="0"/>
          <w:numId w:val="4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办理进度及时告知老年人，办结后现场复核，确保问题整改到位、设施恢复正常、服务落实到位。</w:t>
      </w:r>
    </w:p>
    <w:p w14:paraId="6D89B975">
      <w:pPr>
        <w:keepNext w:val="0"/>
        <w:keepLines w:val="0"/>
        <w:pageBreakBefore w:val="0"/>
        <w:widowControl w:val="0"/>
        <w:numPr>
          <w:ilvl w:val="0"/>
          <w:numId w:val="4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对已办结事项开展老年人满意度回访，将诉求办结率、响应及时率、老年人满意度作为社区和物业考核核心依据。</w:t>
      </w:r>
    </w:p>
    <w:p w14:paraId="530E1853">
      <w:pPr>
        <w:keepNext w:val="0"/>
        <w:keepLines w:val="0"/>
        <w:pageBreakBefore w:val="0"/>
        <w:widowControl w:val="0"/>
        <w:numPr>
          <w:ilvl w:val="0"/>
          <w:numId w:val="44"/>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建立“受理—登记—派单—处置—复核—回访—归档”全链条闭环，实现可追溯、可考核、可提升。</w:t>
      </w:r>
    </w:p>
    <w:p w14:paraId="11C0B23C">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老年友好文化</w:t>
      </w:r>
    </w:p>
    <w:p w14:paraId="2163AFE3">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4.5.3.1 社区应结合传统节日与现代文化，定期组织适合老年人参与的文化讲堂、书法绘画、合唱舞蹈、健步走、棋牌交流等活动，培育积极向上、互助友爱的邻里文化。</w:t>
      </w:r>
    </w:p>
    <w:p w14:paraId="089D4501">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4.5.3.2 制定发布社区居民公约，将“礼让老年人、不占用无障碍设施、主动帮助高龄老人”等内容纳入公约，并通过景观墙、告示牌、社区公众号等方式宣传展示。</w:t>
      </w:r>
    </w:p>
    <w:p w14:paraId="4D89AB4B">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4.5.3.3 鼓励开展“敬老文明号”“老年友好楼栋”等评选活动，营造尊老、敬老、助老的社区风尚</w:t>
      </w:r>
      <w:r>
        <w:rPr>
          <w:rFonts w:hint="eastAsia"/>
          <w:color w:val="auto"/>
        </w:rPr>
        <w:t>。</w:t>
      </w:r>
    </w:p>
    <w:p w14:paraId="3AC2612C">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rPr>
      </w:pPr>
      <w:bookmarkStart w:id="10" w:name="_Toc31669"/>
      <w:r>
        <w:rPr>
          <w:rFonts w:hint="eastAsia"/>
          <w:color w:val="auto"/>
        </w:rPr>
        <w:t>智慧化与安全适老化提升</w:t>
      </w:r>
      <w:bookmarkEnd w:id="10"/>
    </w:p>
    <w:p w14:paraId="5F23C4DC">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智慧</w:t>
      </w:r>
      <w:r>
        <w:rPr>
          <w:rFonts w:hint="eastAsia"/>
          <w:color w:val="auto"/>
          <w:lang w:val="en-US" w:eastAsia="zh-CN"/>
        </w:rPr>
        <w:t>服务平台</w:t>
      </w:r>
    </w:p>
    <w:p w14:paraId="0A586A23">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4.6.3.1 智慧助老平台建设</w:t>
      </w:r>
    </w:p>
    <w:p w14:paraId="58BAD019">
      <w:pPr>
        <w:keepNext w:val="0"/>
        <w:keepLines w:val="0"/>
        <w:pageBreakBefore w:val="0"/>
        <w:widowControl w:val="0"/>
        <w:numPr>
          <w:ilvl w:val="0"/>
          <w:numId w:val="4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社区宜设置适老化智能信息平台，以安全监护、医养结合、健康管理、便民服务、关爱关怀五大智能化服务为核心，整合家庭、社区、机构资源，实现数据互通、统筹管理；若社区条件受限，无法建设适老化智能信息平台，则应在街道层级建立综合性智慧服务平台。</w:t>
      </w:r>
    </w:p>
    <w:p w14:paraId="03D08826">
      <w:pPr>
        <w:keepNext w:val="0"/>
        <w:keepLines w:val="0"/>
        <w:pageBreakBefore w:val="0"/>
        <w:widowControl w:val="0"/>
        <w:numPr>
          <w:ilvl w:val="0"/>
          <w:numId w:val="4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平台及终端设备应采用大字显示、语音播报、一键呼叫、操作简化的适老化设计，保留人工服务与应急兜底通道，消除数字鸿沟。</w:t>
      </w:r>
    </w:p>
    <w:p w14:paraId="6AE43919">
      <w:pPr>
        <w:keepNext w:val="0"/>
        <w:keepLines w:val="0"/>
        <w:pageBreakBefore w:val="0"/>
        <w:widowControl w:val="0"/>
        <w:numPr>
          <w:ilvl w:val="0"/>
          <w:numId w:val="45"/>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建立数据安全与隐私保护机制，实行数据分类管理、授权使用和留痕可溯，保障老年人信息安全。</w:t>
      </w:r>
    </w:p>
    <w:p w14:paraId="69BC5FFA">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4.6.3.2 建设内容</w:t>
      </w:r>
    </w:p>
    <w:p w14:paraId="35FA17DD">
      <w:pPr>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适老化智能信息平台以就近服务为原则，持续完善居家</w:t>
      </w:r>
      <w:r>
        <w:rPr>
          <w:rFonts w:hint="eastAsia"/>
          <w:color w:val="auto"/>
          <w:lang w:val="en-US" w:eastAsia="zh-CN"/>
        </w:rPr>
        <w:t>-</w:t>
      </w:r>
      <w:r>
        <w:rPr>
          <w:rFonts w:hint="default"/>
          <w:color w:val="auto"/>
          <w:lang w:val="en-US" w:eastAsia="zh-CN"/>
        </w:rPr>
        <w:t>社区</w:t>
      </w:r>
      <w:r>
        <w:rPr>
          <w:rFonts w:hint="eastAsia"/>
          <w:color w:val="auto"/>
          <w:lang w:val="en-US" w:eastAsia="zh-CN"/>
        </w:rPr>
        <w:t>-</w:t>
      </w:r>
      <w:r>
        <w:rPr>
          <w:rFonts w:hint="default"/>
          <w:color w:val="auto"/>
          <w:lang w:val="en-US" w:eastAsia="zh-CN"/>
        </w:rPr>
        <w:t>机构相协调、医养相结合的养老服务体系。</w:t>
      </w:r>
    </w:p>
    <w:p w14:paraId="204AA08F">
      <w:pPr>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default"/>
          <w:color w:val="auto"/>
          <w:lang w:val="en-US" w:eastAsia="zh-CN"/>
        </w:rPr>
        <w:t>建立老年人动态电子健康档案，</w:t>
      </w:r>
      <w:r>
        <w:rPr>
          <w:rFonts w:hint="eastAsia"/>
          <w:color w:val="auto"/>
          <w:lang w:val="en-US" w:eastAsia="zh-CN"/>
        </w:rPr>
        <w:t>包括老年人的基本信息、健康信息、紧急联系人等，为适老化服务提供基础数据支撑。</w:t>
      </w:r>
      <w:r>
        <w:rPr>
          <w:rFonts w:hint="default"/>
          <w:color w:val="auto"/>
          <w:lang w:val="en-US" w:eastAsia="zh-CN"/>
        </w:rPr>
        <w:t>通过智能终端自动采集健康数据并开展评估与预警，提供个性化健康干预与科普指导，推动老年人健康服务从被动治疗向主动管理转变。</w:t>
      </w:r>
    </w:p>
    <w:p w14:paraId="37158F80">
      <w:pPr>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default"/>
          <w:color w:val="auto"/>
          <w:lang w:val="en-US" w:eastAsia="zh-CN"/>
        </w:rPr>
      </w:pPr>
      <w:r>
        <w:rPr>
          <w:rFonts w:hint="default"/>
          <w:color w:val="auto"/>
          <w:lang w:val="en-US" w:eastAsia="zh-CN"/>
        </w:rPr>
        <w:t>平台</w:t>
      </w:r>
      <w:r>
        <w:rPr>
          <w:rFonts w:hint="eastAsia"/>
          <w:color w:val="auto"/>
          <w:lang w:val="en-US" w:eastAsia="zh-CN"/>
        </w:rPr>
        <w:t>应</w:t>
      </w:r>
      <w:r>
        <w:rPr>
          <w:rFonts w:hint="default"/>
          <w:color w:val="auto"/>
          <w:lang w:val="en-US" w:eastAsia="zh-CN"/>
        </w:rPr>
        <w:t>预留医院养老服务智能化专用子系统网络平台接口</w:t>
      </w:r>
      <w:r>
        <w:rPr>
          <w:rFonts w:hint="eastAsia"/>
          <w:color w:val="auto"/>
          <w:lang w:val="en-US" w:eastAsia="zh-CN"/>
        </w:rPr>
        <w:t>，</w:t>
      </w:r>
      <w:r>
        <w:rPr>
          <w:rFonts w:hint="default"/>
          <w:color w:val="auto"/>
          <w:lang w:val="en-US" w:eastAsia="zh-CN"/>
        </w:rPr>
        <w:t>推动社区医疗与养老服务深度融合、数据互通，依托智慧平台开展在线问诊、慢病管理、上门护理、就医协助与双向转诊服务，形成连续高效的社区医养结合服务链条。</w:t>
      </w:r>
    </w:p>
    <w:p w14:paraId="0A736D96">
      <w:pPr>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整合社区、物业、社会服务资源，提供助餐、代购、代缴、维修、代办等一站式生活服务，实行线上点单、线下服务、过程可溯、评价可查，支持语音呼叫、一键预约、电话代办等多种接入方式。</w:t>
      </w:r>
    </w:p>
    <w:p w14:paraId="4491E015">
      <w:pPr>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ind w:left="0" w:leftChars="0" w:right="0" w:rightChars="0" w:firstLine="640" w:firstLineChars="200"/>
        <w:jc w:val="left"/>
        <w:textAlignment w:val="auto"/>
        <w:rPr>
          <w:rFonts w:hint="eastAsia"/>
          <w:color w:val="auto"/>
          <w:lang w:val="en-US" w:eastAsia="zh-CN"/>
        </w:rPr>
      </w:pPr>
      <w:r>
        <w:rPr>
          <w:rFonts w:hint="eastAsia"/>
          <w:color w:val="auto"/>
          <w:lang w:val="en-US" w:eastAsia="zh-CN"/>
        </w:rPr>
        <w:t>聚焦老年人精神慰藉与社会参与，开展线上文化课堂，通过智能终端推送关怀问候、天气提示、用药提醒、活动通知，提升老年群体归属感与幸福感。</w:t>
      </w:r>
    </w:p>
    <w:p w14:paraId="1A508259">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rPr>
        <w:t>智能安防系统</w:t>
      </w:r>
    </w:p>
    <w:p w14:paraId="0F4A1DF2">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4.6</w:t>
      </w:r>
      <w:r>
        <w:rPr>
          <w:rFonts w:hint="eastAsia"/>
          <w:color w:val="auto"/>
        </w:rPr>
        <w:t>.</w:t>
      </w:r>
      <w:r>
        <w:rPr>
          <w:rFonts w:hint="eastAsia"/>
          <w:color w:val="auto"/>
          <w:lang w:val="en-US" w:eastAsia="zh-CN"/>
        </w:rPr>
        <w:t>2</w:t>
      </w:r>
      <w:r>
        <w:rPr>
          <w:rFonts w:hint="eastAsia"/>
          <w:color w:val="auto"/>
        </w:rPr>
        <w:t>.1 智能安防系统应涵盖视频监控、智能门禁、楼宇对讲、火灾监测等基础模块，覆盖社区出入口、楼栋单元口、公共走道、楼梯间、电梯厅等关键区域。</w:t>
      </w:r>
    </w:p>
    <w:p w14:paraId="297841DF">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4.6</w:t>
      </w:r>
      <w:r>
        <w:rPr>
          <w:rFonts w:hint="eastAsia"/>
          <w:color w:val="auto"/>
        </w:rPr>
        <w:t>.</w:t>
      </w:r>
      <w:r>
        <w:rPr>
          <w:rFonts w:hint="eastAsia"/>
          <w:color w:val="auto"/>
          <w:lang w:val="en-US" w:eastAsia="zh-CN"/>
        </w:rPr>
        <w:t>2</w:t>
      </w:r>
      <w:r>
        <w:rPr>
          <w:rFonts w:hint="eastAsia"/>
          <w:color w:val="auto"/>
        </w:rPr>
        <w:t>.2 视频监控设备应安装在社区老年人集中活动场所、单元入口、主干道等位置，图像清晰可辨，信号实时传输至社区监控室，安排专人值守。</w:t>
      </w:r>
    </w:p>
    <w:p w14:paraId="2593B35C">
      <w:pPr>
        <w:pStyle w:val="4"/>
        <w:keepNext w:val="0"/>
        <w:keepLines w:val="0"/>
        <w:pageBreakBefore w:val="0"/>
        <w:widowControl w:val="0"/>
        <w:numPr>
          <w:ilvl w:val="2"/>
          <w:numId w:val="2"/>
        </w:numPr>
        <w:kinsoku/>
        <w:wordWrap/>
        <w:overflowPunct/>
        <w:topLinePunct w:val="0"/>
        <w:autoSpaceDE/>
        <w:autoSpaceDN/>
        <w:bidi w:val="0"/>
        <w:textAlignment w:val="auto"/>
        <w:rPr>
          <w:rFonts w:hint="eastAsia"/>
          <w:color w:val="auto"/>
        </w:rPr>
      </w:pPr>
      <w:r>
        <w:rPr>
          <w:rFonts w:hint="eastAsia"/>
          <w:color w:val="auto"/>
          <w:lang w:val="en-US" w:eastAsia="zh-CN"/>
        </w:rPr>
        <w:t>安全监测系统</w:t>
      </w:r>
    </w:p>
    <w:p w14:paraId="45EBAF98">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4.6.3.1 在社区车行道路、人行步道、活动广场等老年人高频活动区域区域，部署视频监控、应急求助呼叫装置、跌倒监测设备，实现老年人活动区域全覆盖监测。</w:t>
      </w:r>
    </w:p>
    <w:p w14:paraId="10E107A0">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4.6.3.2 活动场地、坡道、台阶等易滑、易摔区域，结合智能监控实现异常行为自动识别，对跌倒、长时间静止、徘徊、闯入危险区等情况分级预警，同步推送至监控室、物业及应急联系人。</w:t>
      </w:r>
    </w:p>
    <w:p w14:paraId="27BF6705">
      <w:pPr>
        <w:keepNext w:val="0"/>
        <w:keepLines w:val="0"/>
        <w:pageBreakBefore w:val="0"/>
        <w:widowControl w:val="0"/>
        <w:kinsoku/>
        <w:wordWrap/>
        <w:overflowPunct/>
        <w:topLinePunct w:val="0"/>
        <w:autoSpaceDE/>
        <w:autoSpaceDN/>
        <w:bidi w:val="0"/>
        <w:textAlignment w:val="auto"/>
        <w:rPr>
          <w:rFonts w:hint="default"/>
          <w:color w:val="auto"/>
          <w:lang w:val="en-US"/>
        </w:rPr>
      </w:pPr>
      <w:r>
        <w:rPr>
          <w:rFonts w:hint="eastAsia"/>
          <w:color w:val="auto"/>
          <w:lang w:val="en-US" w:eastAsia="zh-CN"/>
        </w:rPr>
        <w:t>4.6.3.3 所有监测报警信号可统一接入社区适老化智慧服务平台，实现集中监视、统一调度、记录存档、闭环处置。平台应预留对接消防、医疗急救、公安等公共应急系统的接口。</w:t>
      </w:r>
    </w:p>
    <w:p w14:paraId="7999DB4C">
      <w:pPr>
        <w:pStyle w:val="2"/>
        <w:keepNext w:val="0"/>
        <w:keepLines w:val="0"/>
        <w:pageBreakBefore w:val="0"/>
        <w:widowControl w:val="0"/>
        <w:numPr>
          <w:ilvl w:val="0"/>
          <w:numId w:val="2"/>
        </w:numPr>
        <w:tabs>
          <w:tab w:val="left" w:pos="0"/>
        </w:tabs>
        <w:kinsoku/>
        <w:wordWrap/>
        <w:overflowPunct/>
        <w:topLinePunct w:val="0"/>
        <w:autoSpaceDE/>
        <w:autoSpaceDN/>
        <w:bidi w:val="0"/>
        <w:textAlignment w:val="auto"/>
        <w:rPr>
          <w:rFonts w:hint="eastAsia"/>
          <w:color w:val="auto"/>
        </w:rPr>
      </w:pPr>
      <w:bookmarkStart w:id="11" w:name="_Toc24992"/>
      <w:r>
        <w:rPr>
          <w:rFonts w:hint="eastAsia"/>
          <w:color w:val="auto"/>
          <w:lang w:val="en-US" w:eastAsia="zh-CN"/>
        </w:rPr>
        <w:t>改造流程与评估</w:t>
      </w:r>
      <w:bookmarkEnd w:id="11"/>
    </w:p>
    <w:p w14:paraId="2E75F58C">
      <w:pPr>
        <w:pStyle w:val="3"/>
        <w:keepNext w:val="0"/>
        <w:keepLines w:val="0"/>
        <w:pageBreakBefore w:val="0"/>
        <w:widowControl w:val="0"/>
        <w:numPr>
          <w:ilvl w:val="1"/>
          <w:numId w:val="2"/>
        </w:numPr>
        <w:kinsoku/>
        <w:wordWrap/>
        <w:overflowPunct/>
        <w:topLinePunct w:val="0"/>
        <w:autoSpaceDE/>
        <w:autoSpaceDN/>
        <w:bidi w:val="0"/>
        <w:textAlignment w:val="auto"/>
        <w:rPr>
          <w:rFonts w:hint="default"/>
          <w:color w:val="auto"/>
          <w:lang w:val="en-US" w:eastAsia="zh-CN"/>
        </w:rPr>
      </w:pPr>
      <w:bookmarkStart w:id="12" w:name="_Toc2158"/>
      <w:r>
        <w:rPr>
          <w:rFonts w:hint="eastAsia"/>
          <w:color w:val="auto"/>
          <w:lang w:val="en-US" w:eastAsia="zh-CN"/>
        </w:rPr>
        <w:t>改造流程</w:t>
      </w:r>
      <w:bookmarkEnd w:id="12"/>
    </w:p>
    <w:p w14:paraId="003674DA">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5.1.1 改造前期，严格落实完整社区建设前置要求，在进行社区专项体检时，重点对社区的适老化改造需求开展相关评估。通过开展社区适老化体检，把握社区老年人口底数及公共空间、楼栋、居家、养老设施短板，摸清老年人实际需求，形成问题清单、需求清单和改造台账。</w:t>
      </w:r>
    </w:p>
    <w:p w14:paraId="7DC7EE68">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5.1.2 改造中期，完善多方共同监督机制，建立住建、监理、社区、物业、老年代表多方监督机制，常态化巡查整改质量与安全问题。</w:t>
      </w:r>
    </w:p>
    <w:p w14:paraId="71206F9E">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5.1.3 改造后期，建立定期维护运维机制。明确街道、社区、物业、社会资本等多方管护责任主体、维护内容、频次及流程，并纳入物业服务或专项管理合同；建立常态化巡检、维修、保养机制，规范养老服务运营；开展老年人满意度测评和绩效评价，结合实际使用反馈动态微改造、微提升，保障适老化社区长期可持续运行。</w:t>
      </w:r>
    </w:p>
    <w:p w14:paraId="1121874A">
      <w:pPr>
        <w:pStyle w:val="3"/>
        <w:keepNext w:val="0"/>
        <w:keepLines w:val="0"/>
        <w:pageBreakBefore w:val="0"/>
        <w:widowControl w:val="0"/>
        <w:numPr>
          <w:ilvl w:val="1"/>
          <w:numId w:val="2"/>
        </w:numPr>
        <w:kinsoku/>
        <w:wordWrap/>
        <w:overflowPunct/>
        <w:topLinePunct w:val="0"/>
        <w:autoSpaceDE/>
        <w:autoSpaceDN/>
        <w:bidi w:val="0"/>
        <w:textAlignment w:val="auto"/>
        <w:rPr>
          <w:rFonts w:hint="eastAsia"/>
          <w:color w:val="auto"/>
          <w:lang w:val="en-US" w:eastAsia="zh-CN"/>
        </w:rPr>
      </w:pPr>
      <w:bookmarkStart w:id="13" w:name="_Toc17027"/>
      <w:r>
        <w:rPr>
          <w:rFonts w:hint="eastAsia"/>
          <w:color w:val="auto"/>
          <w:lang w:val="en-US" w:eastAsia="zh-CN"/>
        </w:rPr>
        <w:t>改造后评估</w:t>
      </w:r>
      <w:bookmarkEnd w:id="13"/>
    </w:p>
    <w:p w14:paraId="3B80F152">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rPr>
        <w:t>社区适老化改造效果</w:t>
      </w:r>
      <w:r>
        <w:rPr>
          <w:rFonts w:hint="eastAsia"/>
          <w:color w:val="auto"/>
          <w:lang w:eastAsia="zh-CN"/>
        </w:rPr>
        <w:t>评估</w:t>
      </w:r>
      <w:r>
        <w:rPr>
          <w:rFonts w:hint="eastAsia"/>
          <w:color w:val="auto"/>
        </w:rPr>
        <w:t>坚持以老年人需求为核心、以实际使用为导向、以长效运行为目标，采用定量与定性相结合、过程与结果相统一的方式，从设施保障、出行安全、服务可达、环境友好、治理有效、群众满意六个维度建立综合</w:t>
      </w:r>
      <w:r>
        <w:rPr>
          <w:rFonts w:hint="eastAsia"/>
          <w:color w:val="auto"/>
          <w:lang w:val="en-US" w:eastAsia="zh-CN"/>
        </w:rPr>
        <w:t>评估</w:t>
      </w:r>
      <w:r>
        <w:rPr>
          <w:rFonts w:hint="eastAsia"/>
          <w:color w:val="auto"/>
        </w:rPr>
        <w:t>体系，全面衡量适老化</w:t>
      </w:r>
      <w:r>
        <w:rPr>
          <w:rFonts w:hint="eastAsia"/>
          <w:color w:val="auto"/>
          <w:lang w:val="en-US" w:eastAsia="zh-CN"/>
        </w:rPr>
        <w:t>改造</w:t>
      </w:r>
      <w:r>
        <w:rPr>
          <w:rFonts w:hint="eastAsia"/>
          <w:color w:val="auto"/>
        </w:rPr>
        <w:t>成效，为持续优化提升提供依据。</w:t>
      </w:r>
    </w:p>
    <w:p w14:paraId="17054915">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5.2.1 设施保障评估</w:t>
      </w:r>
    </w:p>
    <w:p w14:paraId="4BE78D9D">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重点</w:t>
      </w:r>
      <w:r>
        <w:rPr>
          <w:rFonts w:hint="eastAsia"/>
          <w:color w:val="auto"/>
          <w:lang w:val="en-US" w:eastAsia="zh-CN"/>
        </w:rPr>
        <w:t>评估</w:t>
      </w:r>
      <w:r>
        <w:rPr>
          <w:rFonts w:hint="default"/>
          <w:color w:val="auto"/>
          <w:lang w:val="en-US" w:eastAsia="zh-CN"/>
        </w:rPr>
        <w:t>适老化设施配置齐全度、规模达标率、功能完整性。主要包括：老年服务站、社区卫生服务站、无障碍设施、公共活动场地、公共绿地、停车充电、环境卫生、慢行系统等设施是否按标准建成；设施规模、建筑面积、用地指标是否符合导则要求；功能设置是否满足日间照料、助餐、康复、健身、应急避险等基本使用需求。</w:t>
      </w:r>
    </w:p>
    <w:p w14:paraId="323D555A">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 xml:space="preserve">5.2.2 </w:t>
      </w:r>
      <w:r>
        <w:rPr>
          <w:rFonts w:hint="default"/>
          <w:color w:val="auto"/>
          <w:lang w:val="en-US" w:eastAsia="zh-CN"/>
        </w:rPr>
        <w:t>出行安全</w:t>
      </w:r>
      <w:r>
        <w:rPr>
          <w:rFonts w:hint="eastAsia"/>
          <w:color w:val="auto"/>
          <w:lang w:val="en-US" w:eastAsia="zh-CN"/>
        </w:rPr>
        <w:t>评估</w:t>
      </w:r>
    </w:p>
    <w:p w14:paraId="53E090E9">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重点</w:t>
      </w:r>
      <w:r>
        <w:rPr>
          <w:rFonts w:hint="eastAsia"/>
          <w:color w:val="auto"/>
          <w:lang w:val="en-US" w:eastAsia="zh-CN"/>
        </w:rPr>
        <w:t>评估</w:t>
      </w:r>
      <w:r>
        <w:rPr>
          <w:rFonts w:hint="default"/>
          <w:color w:val="auto"/>
          <w:lang w:val="en-US" w:eastAsia="zh-CN"/>
        </w:rPr>
        <w:t>社区通行安全性、隐患消除率、适老化防护水平。主要包括：社区道路、单元入口、公共空间是否实现无障碍通行；坡道、扶手、照明、防滑、防撞等安全防护措施是否到位；消防通道、无障碍通道是否保持畅通；飞线充电、乱停乱放、地面高差、夜间昏暗等安全隐患是否有效整治；老年人出行跌倒风险、碰撞风险是否显著降低。</w:t>
      </w:r>
    </w:p>
    <w:p w14:paraId="733D2B67">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 xml:space="preserve">5.2.3 </w:t>
      </w:r>
      <w:r>
        <w:rPr>
          <w:rFonts w:hint="default"/>
          <w:color w:val="auto"/>
          <w:lang w:val="en-US" w:eastAsia="zh-CN"/>
        </w:rPr>
        <w:t>服务可达</w:t>
      </w:r>
      <w:r>
        <w:rPr>
          <w:rFonts w:hint="eastAsia"/>
          <w:color w:val="auto"/>
          <w:lang w:val="en-US" w:eastAsia="zh-CN"/>
        </w:rPr>
        <w:t>评估</w:t>
      </w:r>
    </w:p>
    <w:p w14:paraId="0801432C">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重点</w:t>
      </w:r>
      <w:r>
        <w:rPr>
          <w:rFonts w:hint="eastAsia"/>
          <w:color w:val="auto"/>
          <w:lang w:val="en-US" w:eastAsia="zh-CN"/>
        </w:rPr>
        <w:t>评估</w:t>
      </w:r>
      <w:r>
        <w:rPr>
          <w:rFonts w:hint="default"/>
          <w:color w:val="auto"/>
          <w:lang w:val="en-US" w:eastAsia="zh-CN"/>
        </w:rPr>
        <w:t>服务便捷度、步行可达性、覆盖均衡性。主要包括：老年服务、医疗健康、便民商业、公共活动等核心设施是否实现步行5—10分钟可达；服务供给是否覆盖高龄、独居、失能、残疾等重点老年群体；居家上门、助餐助医、健康管理、应急求助等服务是否可及、可用、可持续。</w:t>
      </w:r>
    </w:p>
    <w:p w14:paraId="045E74CC">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 xml:space="preserve">5.2.4 </w:t>
      </w:r>
      <w:r>
        <w:rPr>
          <w:rFonts w:hint="default"/>
          <w:color w:val="auto"/>
          <w:lang w:val="en-US" w:eastAsia="zh-CN"/>
        </w:rPr>
        <w:t>环境友好</w:t>
      </w:r>
      <w:r>
        <w:rPr>
          <w:rFonts w:hint="eastAsia"/>
          <w:color w:val="auto"/>
          <w:lang w:val="en-US" w:eastAsia="zh-CN"/>
        </w:rPr>
        <w:t>评估</w:t>
      </w:r>
    </w:p>
    <w:p w14:paraId="60C831C4">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重点</w:t>
      </w:r>
      <w:r>
        <w:rPr>
          <w:rFonts w:hint="eastAsia"/>
          <w:color w:val="auto"/>
          <w:lang w:val="en-US" w:eastAsia="zh-CN"/>
        </w:rPr>
        <w:t>评估</w:t>
      </w:r>
      <w:r>
        <w:rPr>
          <w:rFonts w:hint="default"/>
          <w:color w:val="auto"/>
          <w:lang w:val="en-US" w:eastAsia="zh-CN"/>
        </w:rPr>
        <w:t>空间适老性、环境舒适性、全龄包容性。主要包括：公共活动场地座椅、健身器材、遮阳避雨、休息等候等设施是否适配老年人生理特征；绿化、步道、口袋公园等是否平缓安全、易于停留；社区标识系统是否大字清晰、高对比、易识别；环境整治、垃圾分类、保洁养护是否到位，整体宜居水平明显提升。</w:t>
      </w:r>
    </w:p>
    <w:p w14:paraId="1CBBFF41">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 xml:space="preserve">5.2.5 </w:t>
      </w:r>
      <w:r>
        <w:rPr>
          <w:rFonts w:hint="default"/>
          <w:color w:val="auto"/>
          <w:lang w:val="en-US" w:eastAsia="zh-CN"/>
        </w:rPr>
        <w:t>治理有效</w:t>
      </w:r>
      <w:r>
        <w:rPr>
          <w:rFonts w:hint="eastAsia"/>
          <w:color w:val="auto"/>
          <w:lang w:val="en-US" w:eastAsia="zh-CN"/>
        </w:rPr>
        <w:t>评估</w:t>
      </w:r>
    </w:p>
    <w:p w14:paraId="2589EDFD">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重点</w:t>
      </w:r>
      <w:r>
        <w:rPr>
          <w:rFonts w:hint="eastAsia"/>
          <w:color w:val="auto"/>
          <w:lang w:val="en-US" w:eastAsia="zh-CN"/>
        </w:rPr>
        <w:t>评估</w:t>
      </w:r>
      <w:r>
        <w:rPr>
          <w:rFonts w:hint="default"/>
          <w:color w:val="auto"/>
          <w:lang w:val="en-US" w:eastAsia="zh-CN"/>
        </w:rPr>
        <w:t>机制健全性、管理规范性、运维可持续性。主要包括：适老化改造是否落实共谋、共建、共管、共评、共享；社区党委领导、多方参与、议事协调机制是否健全；物业服务全覆盖、日常巡查、设施维护、应急响应等制度是否落实；运维主体、经费来源、管护责任是否明确，设施长期稳定运行。</w:t>
      </w:r>
    </w:p>
    <w:p w14:paraId="502726B2">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 xml:space="preserve">5.2.6 </w:t>
      </w:r>
      <w:r>
        <w:rPr>
          <w:rFonts w:hint="default"/>
          <w:color w:val="auto"/>
          <w:lang w:val="en-US" w:eastAsia="zh-CN"/>
        </w:rPr>
        <w:t>群众满意</w:t>
      </w:r>
      <w:r>
        <w:rPr>
          <w:rFonts w:hint="eastAsia"/>
          <w:color w:val="auto"/>
          <w:lang w:val="en-US" w:eastAsia="zh-CN"/>
        </w:rPr>
        <w:t>评估</w:t>
      </w:r>
    </w:p>
    <w:p w14:paraId="2D3CD1C1">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重点</w:t>
      </w:r>
      <w:r>
        <w:rPr>
          <w:rFonts w:hint="eastAsia"/>
          <w:color w:val="auto"/>
          <w:lang w:val="en-US" w:eastAsia="zh-CN"/>
        </w:rPr>
        <w:t>评估</w:t>
      </w:r>
      <w:r>
        <w:rPr>
          <w:rFonts w:hint="default"/>
          <w:color w:val="auto"/>
          <w:lang w:val="en-US" w:eastAsia="zh-CN"/>
        </w:rPr>
        <w:t>老年人获得感、幸福感、安全感。主要包括：老年人及居民对改造效果、出行便利、设施使用、服务质量的满意度；重点老年群体诉求响应率、问题解决率；社区敬老爱老助老氛围是否浓厚，老年人社区认同、归属感是否显著增强。</w:t>
      </w:r>
    </w:p>
    <w:p w14:paraId="2045CCE6">
      <w:pPr>
        <w:pStyle w:val="3"/>
        <w:keepNext w:val="0"/>
        <w:keepLines w:val="0"/>
        <w:pageBreakBefore w:val="0"/>
        <w:widowControl w:val="0"/>
        <w:numPr>
          <w:ilvl w:val="1"/>
          <w:numId w:val="2"/>
        </w:numPr>
        <w:kinsoku/>
        <w:wordWrap/>
        <w:overflowPunct/>
        <w:topLinePunct w:val="0"/>
        <w:autoSpaceDE/>
        <w:autoSpaceDN/>
        <w:bidi w:val="0"/>
        <w:ind w:left="0" w:leftChars="0" w:firstLine="0" w:firstLineChars="0"/>
        <w:textAlignment w:val="auto"/>
        <w:rPr>
          <w:rFonts w:hint="eastAsia"/>
          <w:color w:val="auto"/>
          <w:lang w:val="en-US" w:eastAsia="zh-CN"/>
        </w:rPr>
      </w:pPr>
      <w:bookmarkStart w:id="14" w:name="_Toc8246"/>
      <w:r>
        <w:rPr>
          <w:rFonts w:hint="eastAsia"/>
          <w:color w:val="auto"/>
          <w:lang w:val="en-US" w:eastAsia="zh-CN"/>
        </w:rPr>
        <w:t>评估结果应用</w:t>
      </w:r>
      <w:bookmarkEnd w:id="14"/>
    </w:p>
    <w:p w14:paraId="709ADDA8">
      <w:pPr>
        <w:keepNext w:val="0"/>
        <w:keepLines w:val="0"/>
        <w:pageBreakBefore w:val="0"/>
        <w:widowControl w:val="0"/>
        <w:kinsoku/>
        <w:wordWrap/>
        <w:overflowPunct/>
        <w:topLinePunct w:val="0"/>
        <w:autoSpaceDE/>
        <w:autoSpaceDN/>
        <w:bidi w:val="0"/>
        <w:textAlignment w:val="auto"/>
        <w:rPr>
          <w:color w:val="auto"/>
        </w:rPr>
      </w:pPr>
      <w:r>
        <w:rPr>
          <w:rFonts w:hint="eastAsia"/>
          <w:color w:val="auto"/>
          <w:lang w:val="en-US" w:eastAsia="zh-CN"/>
        </w:rPr>
        <w:t>城市社区适老化改造是完善养老服务体系、提升居住品质、推进完整居住社区建设的关键任务。适老化改造成果，应纳入社区建设与长效管理体系，作为完整居住社区评定、老旧小区改造验收、养老服务设施达标、社区治理绩效考核的重要依据；改造后设施配置、服务标准、技术参数可直接用于项目设计、施工、监理与竣工验收，同步作为社区设施运维、服务供给、智慧管理的操作规范与执行标准。各地应结合改造成果开展经验总结、示范推广与标准迭代，持续优化老年友好型社区建设路径，推动改造成果长效惠及老年群体，切实巩固提升社区适老化建设成效。</w:t>
      </w:r>
    </w:p>
    <w:p w14:paraId="126ECD45">
      <w:pPr>
        <w:pStyle w:val="2"/>
        <w:keepNext w:val="0"/>
        <w:keepLines w:val="0"/>
        <w:pageBreakBefore w:val="0"/>
        <w:widowControl w:val="0"/>
        <w:numPr>
          <w:ilvl w:val="0"/>
          <w:numId w:val="2"/>
        </w:numPr>
        <w:tabs>
          <w:tab w:val="left" w:pos="0"/>
        </w:tabs>
        <w:kinsoku/>
        <w:wordWrap/>
        <w:overflowPunct/>
        <w:topLinePunct w:val="0"/>
        <w:autoSpaceDE/>
        <w:autoSpaceDN/>
        <w:bidi w:val="0"/>
        <w:textAlignment w:val="auto"/>
        <w:rPr>
          <w:color w:val="auto"/>
        </w:rPr>
      </w:pPr>
      <w:bookmarkStart w:id="15" w:name="_Toc23797"/>
      <w:r>
        <w:rPr>
          <w:rFonts w:hint="eastAsia"/>
          <w:color w:val="auto"/>
          <w:lang w:val="en-US" w:eastAsia="zh-CN"/>
        </w:rPr>
        <w:t>附则</w:t>
      </w:r>
      <w:bookmarkEnd w:id="15"/>
    </w:p>
    <w:p w14:paraId="1AF4774B">
      <w:pPr>
        <w:pStyle w:val="3"/>
        <w:keepNext w:val="0"/>
        <w:keepLines w:val="0"/>
        <w:pageBreakBefore w:val="0"/>
        <w:widowControl w:val="0"/>
        <w:numPr>
          <w:ilvl w:val="1"/>
          <w:numId w:val="2"/>
        </w:numPr>
        <w:kinsoku/>
        <w:wordWrap/>
        <w:overflowPunct/>
        <w:topLinePunct w:val="0"/>
        <w:autoSpaceDE/>
        <w:autoSpaceDN/>
        <w:bidi w:val="0"/>
        <w:textAlignment w:val="auto"/>
        <w:rPr>
          <w:rFonts w:hint="default"/>
          <w:color w:val="auto"/>
          <w:lang w:val="en-US"/>
        </w:rPr>
      </w:pPr>
      <w:bookmarkStart w:id="16" w:name="_Toc30754"/>
      <w:r>
        <w:rPr>
          <w:rFonts w:hint="eastAsia"/>
          <w:color w:val="auto"/>
          <w:lang w:val="en-US" w:eastAsia="zh-CN"/>
        </w:rPr>
        <w:t>名词解释</w:t>
      </w:r>
      <w:bookmarkEnd w:id="16"/>
    </w:p>
    <w:p w14:paraId="08F7E6CE">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rPr>
        <w:t>适老化设施：适应老年人的生理、心理和行为特点，为老年人活动需求提供方便的各类公共设施的总称。</w:t>
      </w:r>
    </w:p>
    <w:p w14:paraId="48BAAD4A">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rPr>
        <w:t>适老化</w:t>
      </w:r>
      <w:r>
        <w:rPr>
          <w:rFonts w:hint="eastAsia"/>
          <w:color w:val="auto"/>
          <w:lang w:val="en-US" w:eastAsia="zh-CN"/>
        </w:rPr>
        <w:t>改造</w:t>
      </w:r>
      <w:r>
        <w:rPr>
          <w:rFonts w:hint="eastAsia"/>
          <w:color w:val="auto"/>
        </w:rPr>
        <w:t>：结合老年人的生理、心理和行为特点，采用物理空间改造、增补设施和信息化服务等方式，对已建成并使用的居住在一定地域内的公共环境、服务设施、文化塑造等进行整体系统的</w:t>
      </w:r>
      <w:r>
        <w:rPr>
          <w:rFonts w:hint="eastAsia"/>
          <w:color w:val="auto"/>
          <w:lang w:val="en-US" w:eastAsia="zh-CN"/>
        </w:rPr>
        <w:t>改造，提升老年人使用的安全性、便利性和舒适性。</w:t>
      </w:r>
    </w:p>
    <w:p w14:paraId="191B6664">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既有社区：是指社区内的住宅区已基本完成开发建设的城镇社区，《城市居住区规划设计标准》（GB50108-2018）施行以前批准建设的小区。</w:t>
      </w:r>
    </w:p>
    <w:p w14:paraId="607B47F5">
      <w:pPr>
        <w:keepNext w:val="0"/>
        <w:keepLines w:val="0"/>
        <w:pageBreakBefore w:val="0"/>
        <w:widowControl w:val="0"/>
        <w:kinsoku/>
        <w:wordWrap/>
        <w:overflowPunct/>
        <w:topLinePunct w:val="0"/>
        <w:autoSpaceDE/>
        <w:autoSpaceDN/>
        <w:bidi w:val="0"/>
        <w:textAlignment w:val="auto"/>
        <w:rPr>
          <w:rFonts w:hint="eastAsia"/>
          <w:color w:val="auto"/>
        </w:rPr>
      </w:pPr>
      <w:r>
        <w:rPr>
          <w:rFonts w:hint="eastAsia"/>
          <w:color w:val="auto"/>
          <w:lang w:val="en-US" w:eastAsia="zh-CN"/>
        </w:rPr>
        <w:t>新建社区：是指社区内均为《城市居住区规划设计标准》（GB50108-2018）施行之后批准建设的新建小区或社区内新建小区居住人口超过5000人的社区</w:t>
      </w:r>
      <w:r>
        <w:rPr>
          <w:rFonts w:hint="eastAsia"/>
          <w:color w:val="auto"/>
        </w:rPr>
        <w:t>。</w:t>
      </w:r>
    </w:p>
    <w:p w14:paraId="2EDFD7C5">
      <w:pPr>
        <w:keepNext w:val="0"/>
        <w:keepLines w:val="0"/>
        <w:pageBreakBefore w:val="0"/>
        <w:widowControl w:val="0"/>
        <w:kinsoku/>
        <w:wordWrap/>
        <w:overflowPunct/>
        <w:topLinePunct w:val="0"/>
        <w:autoSpaceDE/>
        <w:autoSpaceDN/>
        <w:bidi w:val="0"/>
        <w:textAlignment w:val="auto"/>
        <w:rPr>
          <w:rFonts w:hint="eastAsia"/>
          <w:color w:val="auto"/>
          <w:lang w:eastAsia="zh-CN"/>
        </w:rPr>
      </w:pPr>
      <w:r>
        <w:rPr>
          <w:rFonts w:hint="eastAsia"/>
          <w:color w:val="auto"/>
        </w:rPr>
        <w:t>交通稳静化:指道路设计中以提高安全性和舒适性为目标的减速技术的总称，即通过道路系统的硬设施(如物理隔离等)及软设施(如政策、立法、技术标准等)降低机动车对居民生活质量及环境的负效应，改变驾驶员对道路的感知从而使其以合适速度驾驶</w:t>
      </w:r>
      <w:r>
        <w:rPr>
          <w:rFonts w:hint="eastAsia"/>
          <w:color w:val="auto"/>
          <w:lang w:eastAsia="zh-CN"/>
        </w:rPr>
        <w:t>。</w:t>
      </w:r>
    </w:p>
    <w:p w14:paraId="647EB3CF">
      <w:pPr>
        <w:pStyle w:val="3"/>
        <w:keepNext w:val="0"/>
        <w:keepLines w:val="0"/>
        <w:pageBreakBefore w:val="0"/>
        <w:widowControl w:val="0"/>
        <w:kinsoku/>
        <w:wordWrap/>
        <w:overflowPunct/>
        <w:topLinePunct w:val="0"/>
        <w:autoSpaceDE/>
        <w:autoSpaceDN/>
        <w:bidi w:val="0"/>
        <w:textAlignment w:val="auto"/>
        <w:rPr>
          <w:rFonts w:hint="eastAsia"/>
          <w:color w:val="auto"/>
          <w:lang w:val="en-US" w:eastAsia="zh-CN"/>
        </w:rPr>
      </w:pPr>
      <w:bookmarkStart w:id="17" w:name="_Toc31122"/>
      <w:r>
        <w:rPr>
          <w:rFonts w:hint="eastAsia"/>
          <w:color w:val="auto"/>
          <w:lang w:val="en-US" w:eastAsia="zh-CN"/>
        </w:rPr>
        <w:t>与其他标准规范的衔接</w:t>
      </w:r>
      <w:bookmarkEnd w:id="17"/>
    </w:p>
    <w:p w14:paraId="77EF1A39">
      <w:pPr>
        <w:keepNext w:val="0"/>
        <w:keepLines w:val="0"/>
        <w:pageBreakBefore w:val="0"/>
        <w:widowControl w:val="0"/>
        <w:kinsoku/>
        <w:wordWrap/>
        <w:overflowPunct/>
        <w:topLinePunct w:val="0"/>
        <w:autoSpaceDE/>
        <w:autoSpaceDN/>
        <w:bidi w:val="0"/>
        <w:textAlignment w:val="auto"/>
        <w:rPr>
          <w:rFonts w:hint="eastAsia"/>
          <w:color w:val="auto"/>
          <w:lang w:val="en-US" w:eastAsia="zh-CN"/>
        </w:rPr>
      </w:pPr>
      <w:r>
        <w:rPr>
          <w:rFonts w:hint="eastAsia"/>
          <w:color w:val="auto"/>
          <w:lang w:val="en-US" w:eastAsia="zh-CN"/>
        </w:rPr>
        <w:t>本导则未尽事宜，按照国家、省现行有关标准、规范执行；如有冲突，以国家强制性标准为准。</w:t>
      </w:r>
    </w:p>
    <w:p w14:paraId="738F35FA">
      <w:pPr>
        <w:pStyle w:val="3"/>
        <w:keepNext w:val="0"/>
        <w:keepLines w:val="0"/>
        <w:pageBreakBefore w:val="0"/>
        <w:widowControl w:val="0"/>
        <w:kinsoku/>
        <w:wordWrap/>
        <w:overflowPunct/>
        <w:topLinePunct w:val="0"/>
        <w:autoSpaceDE/>
        <w:autoSpaceDN/>
        <w:bidi w:val="0"/>
        <w:textAlignment w:val="auto"/>
        <w:rPr>
          <w:rFonts w:hint="default"/>
          <w:color w:val="auto"/>
          <w:lang w:val="en-US" w:eastAsia="zh-CN"/>
        </w:rPr>
      </w:pPr>
      <w:bookmarkStart w:id="18" w:name="_Toc26314"/>
      <w:r>
        <w:rPr>
          <w:rFonts w:hint="default"/>
          <w:color w:val="auto"/>
          <w:lang w:val="en-US" w:eastAsia="zh-CN"/>
        </w:rPr>
        <w:t>动态修订机制</w:t>
      </w:r>
      <w:bookmarkEnd w:id="18"/>
    </w:p>
    <w:p w14:paraId="7F0C08A3">
      <w:pPr>
        <w:keepNext w:val="0"/>
        <w:keepLines w:val="0"/>
        <w:pageBreakBefore w:val="0"/>
        <w:widowControl w:val="0"/>
        <w:kinsoku/>
        <w:wordWrap/>
        <w:overflowPunct/>
        <w:topLinePunct w:val="0"/>
        <w:autoSpaceDE/>
        <w:autoSpaceDN/>
        <w:bidi w:val="0"/>
        <w:textAlignment w:val="auto"/>
        <w:rPr>
          <w:rFonts w:hint="default"/>
          <w:color w:val="auto"/>
          <w:lang w:val="en-US" w:eastAsia="zh-CN"/>
        </w:rPr>
      </w:pPr>
      <w:r>
        <w:rPr>
          <w:rFonts w:hint="default"/>
          <w:color w:val="auto"/>
          <w:lang w:val="en-US" w:eastAsia="zh-CN"/>
        </w:rPr>
        <w:t>根据国家政策、技术发展与实践经验，适时对本导则进行修订、补充与完善。</w:t>
      </w:r>
    </w:p>
    <w:p w14:paraId="630B3765">
      <w:pPr>
        <w:keepNext w:val="0"/>
        <w:keepLines w:val="0"/>
        <w:pageBreakBefore w:val="0"/>
        <w:widowControl w:val="0"/>
        <w:kinsoku/>
        <w:wordWrap/>
        <w:overflowPunct/>
        <w:topLinePunct w:val="0"/>
        <w:autoSpaceDE/>
        <w:autoSpaceDN/>
        <w:bidi w:val="0"/>
        <w:textAlignment w:val="auto"/>
        <w:rPr>
          <w:rFonts w:hint="eastAsia"/>
          <w:color w:val="auto"/>
        </w:rPr>
      </w:pPr>
    </w:p>
    <w:sectPr>
      <w:footerReference r:id="rId6"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36C3">
    <w:pPr>
      <w:pStyle w:val="12"/>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2C260">
    <w:pPr>
      <w:pStyle w:val="12"/>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posOffset>2583815</wp:posOffset>
              </wp:positionH>
              <wp:positionV relativeFrom="paragraph">
                <wp:posOffset>224790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8B9B6">
                          <w:pPr>
                            <w:pStyle w:val="12"/>
                            <w:spacing w:line="240" w:lineRule="auto"/>
                            <w:ind w:firstLine="0" w:firstLineChars="0"/>
                            <w:jc w:val="cen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45pt;margin-top:17.7pt;height:144pt;width:144pt;mso-position-horizontal-relative:margin;mso-wrap-style:none;z-index:251659264;mso-width-relative:page;mso-height-relative:page;" filled="f" stroked="f" coordsize="21600,21600" o:gfxdata="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y7wdr1wAAAAoBAAAPAAAAAAAAAAEAIAAAACIAAABkcnMvZG93bnJldi54bWxQ&#10;SwECFAAUAAAACACHTuJAJIJGtDECAABhBAAADgAAAAAAAAABACAAAAAmAQAAZHJzL2Uyb0RvYy54&#10;bWxQSwUGAAAAAAYABgBZAQAAyQUAAAAA&#10;">
              <v:fill on="f" focussize="0,0"/>
              <v:stroke on="f" weight="0.5pt"/>
              <v:imagedata o:title=""/>
              <o:lock v:ext="edit" aspectratio="f"/>
              <v:textbox inset="0mm,0mm,0mm,0mm" style="mso-fit-shape-to-text:t;">
                <w:txbxContent>
                  <w:p w14:paraId="1728B9B6">
                    <w:pPr>
                      <w:pStyle w:val="12"/>
                      <w:spacing w:line="240" w:lineRule="auto"/>
                      <w:ind w:firstLine="0" w:firstLineChars="0"/>
                      <w:jc w:val="cente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E4856"/>
    <w:multiLevelType w:val="singleLevel"/>
    <w:tmpl w:val="8AFE4856"/>
    <w:lvl w:ilvl="0" w:tentative="0">
      <w:start w:val="1"/>
      <w:numFmt w:val="lowerLetter"/>
      <w:suff w:val="space"/>
      <w:lvlText w:val="%1)"/>
      <w:lvlJc w:val="left"/>
    </w:lvl>
  </w:abstractNum>
  <w:abstractNum w:abstractNumId="1">
    <w:nsid w:val="8E966DA0"/>
    <w:multiLevelType w:val="singleLevel"/>
    <w:tmpl w:val="8E966DA0"/>
    <w:lvl w:ilvl="0" w:tentative="0">
      <w:start w:val="1"/>
      <w:numFmt w:val="lowerLetter"/>
      <w:suff w:val="space"/>
      <w:lvlText w:val="%1)"/>
      <w:lvlJc w:val="left"/>
    </w:lvl>
  </w:abstractNum>
  <w:abstractNum w:abstractNumId="2">
    <w:nsid w:val="929B975A"/>
    <w:multiLevelType w:val="singleLevel"/>
    <w:tmpl w:val="929B975A"/>
    <w:lvl w:ilvl="0" w:tentative="0">
      <w:start w:val="1"/>
      <w:numFmt w:val="lowerLetter"/>
      <w:suff w:val="space"/>
      <w:lvlText w:val="%1)"/>
      <w:lvlJc w:val="left"/>
    </w:lvl>
  </w:abstractNum>
  <w:abstractNum w:abstractNumId="3">
    <w:nsid w:val="94255F76"/>
    <w:multiLevelType w:val="singleLevel"/>
    <w:tmpl w:val="94255F76"/>
    <w:lvl w:ilvl="0" w:tentative="0">
      <w:start w:val="1"/>
      <w:numFmt w:val="lowerLetter"/>
      <w:suff w:val="space"/>
      <w:lvlText w:val="%1)"/>
      <w:lvlJc w:val="left"/>
    </w:lvl>
  </w:abstractNum>
  <w:abstractNum w:abstractNumId="4">
    <w:nsid w:val="97575E14"/>
    <w:multiLevelType w:val="singleLevel"/>
    <w:tmpl w:val="97575E14"/>
    <w:lvl w:ilvl="0" w:tentative="0">
      <w:start w:val="1"/>
      <w:numFmt w:val="lowerLetter"/>
      <w:suff w:val="space"/>
      <w:lvlText w:val="%1)"/>
      <w:lvlJc w:val="left"/>
    </w:lvl>
  </w:abstractNum>
  <w:abstractNum w:abstractNumId="5">
    <w:nsid w:val="976662B6"/>
    <w:multiLevelType w:val="singleLevel"/>
    <w:tmpl w:val="976662B6"/>
    <w:lvl w:ilvl="0" w:tentative="0">
      <w:start w:val="1"/>
      <w:numFmt w:val="lowerLetter"/>
      <w:suff w:val="space"/>
      <w:lvlText w:val="%1)"/>
      <w:lvlJc w:val="left"/>
    </w:lvl>
  </w:abstractNum>
  <w:abstractNum w:abstractNumId="6">
    <w:nsid w:val="9D81AD14"/>
    <w:multiLevelType w:val="singleLevel"/>
    <w:tmpl w:val="9D81AD14"/>
    <w:lvl w:ilvl="0" w:tentative="0">
      <w:start w:val="1"/>
      <w:numFmt w:val="lowerLetter"/>
      <w:suff w:val="space"/>
      <w:lvlText w:val="%1)"/>
      <w:lvlJc w:val="left"/>
    </w:lvl>
  </w:abstractNum>
  <w:abstractNum w:abstractNumId="7">
    <w:nsid w:val="A108B896"/>
    <w:multiLevelType w:val="singleLevel"/>
    <w:tmpl w:val="A108B896"/>
    <w:lvl w:ilvl="0" w:tentative="0">
      <w:start w:val="1"/>
      <w:numFmt w:val="lowerLetter"/>
      <w:suff w:val="space"/>
      <w:lvlText w:val="%1)"/>
      <w:lvlJc w:val="left"/>
    </w:lvl>
  </w:abstractNum>
  <w:abstractNum w:abstractNumId="8">
    <w:nsid w:val="A5DA7560"/>
    <w:multiLevelType w:val="singleLevel"/>
    <w:tmpl w:val="A5DA7560"/>
    <w:lvl w:ilvl="0" w:tentative="0">
      <w:start w:val="1"/>
      <w:numFmt w:val="lowerLetter"/>
      <w:suff w:val="space"/>
      <w:lvlText w:val="%1)"/>
      <w:lvlJc w:val="left"/>
    </w:lvl>
  </w:abstractNum>
  <w:abstractNum w:abstractNumId="9">
    <w:nsid w:val="AB304FDB"/>
    <w:multiLevelType w:val="singleLevel"/>
    <w:tmpl w:val="AB304FDB"/>
    <w:lvl w:ilvl="0" w:tentative="0">
      <w:start w:val="1"/>
      <w:numFmt w:val="lowerLetter"/>
      <w:suff w:val="space"/>
      <w:lvlText w:val="%1)"/>
      <w:lvlJc w:val="left"/>
    </w:lvl>
  </w:abstractNum>
  <w:abstractNum w:abstractNumId="10">
    <w:nsid w:val="B3DFB881"/>
    <w:multiLevelType w:val="singleLevel"/>
    <w:tmpl w:val="B3DFB881"/>
    <w:lvl w:ilvl="0" w:tentative="0">
      <w:start w:val="1"/>
      <w:numFmt w:val="lowerLetter"/>
      <w:suff w:val="space"/>
      <w:lvlText w:val="%1)"/>
      <w:lvlJc w:val="left"/>
    </w:lvl>
  </w:abstractNum>
  <w:abstractNum w:abstractNumId="11">
    <w:nsid w:val="BBD7922C"/>
    <w:multiLevelType w:val="singleLevel"/>
    <w:tmpl w:val="BBD7922C"/>
    <w:lvl w:ilvl="0" w:tentative="0">
      <w:start w:val="1"/>
      <w:numFmt w:val="lowerLetter"/>
      <w:suff w:val="space"/>
      <w:lvlText w:val="%1)"/>
      <w:lvlJc w:val="left"/>
    </w:lvl>
  </w:abstractNum>
  <w:abstractNum w:abstractNumId="12">
    <w:nsid w:val="C2DAB4D7"/>
    <w:multiLevelType w:val="singleLevel"/>
    <w:tmpl w:val="C2DAB4D7"/>
    <w:lvl w:ilvl="0" w:tentative="0">
      <w:start w:val="1"/>
      <w:numFmt w:val="lowerLetter"/>
      <w:suff w:val="space"/>
      <w:lvlText w:val="%1)"/>
      <w:lvlJc w:val="left"/>
    </w:lvl>
  </w:abstractNum>
  <w:abstractNum w:abstractNumId="13">
    <w:nsid w:val="C7BEFA2E"/>
    <w:multiLevelType w:val="singleLevel"/>
    <w:tmpl w:val="C7BEFA2E"/>
    <w:lvl w:ilvl="0" w:tentative="0">
      <w:start w:val="1"/>
      <w:numFmt w:val="lowerLetter"/>
      <w:suff w:val="space"/>
      <w:lvlText w:val="%1)"/>
      <w:lvlJc w:val="left"/>
    </w:lvl>
  </w:abstractNum>
  <w:abstractNum w:abstractNumId="14">
    <w:nsid w:val="CADA2108"/>
    <w:multiLevelType w:val="singleLevel"/>
    <w:tmpl w:val="CADA2108"/>
    <w:lvl w:ilvl="0" w:tentative="0">
      <w:start w:val="1"/>
      <w:numFmt w:val="lowerLetter"/>
      <w:suff w:val="space"/>
      <w:lvlText w:val="%1)"/>
      <w:lvlJc w:val="left"/>
    </w:lvl>
  </w:abstractNum>
  <w:abstractNum w:abstractNumId="15">
    <w:nsid w:val="CC0CB470"/>
    <w:multiLevelType w:val="singleLevel"/>
    <w:tmpl w:val="CC0CB470"/>
    <w:lvl w:ilvl="0" w:tentative="0">
      <w:start w:val="1"/>
      <w:numFmt w:val="lowerLetter"/>
      <w:suff w:val="space"/>
      <w:lvlText w:val="%1)"/>
      <w:lvlJc w:val="left"/>
    </w:lvl>
  </w:abstractNum>
  <w:abstractNum w:abstractNumId="16">
    <w:nsid w:val="D3682472"/>
    <w:multiLevelType w:val="singleLevel"/>
    <w:tmpl w:val="D3682472"/>
    <w:lvl w:ilvl="0" w:tentative="0">
      <w:start w:val="1"/>
      <w:numFmt w:val="lowerLetter"/>
      <w:suff w:val="space"/>
      <w:lvlText w:val="%1)"/>
      <w:lvlJc w:val="left"/>
    </w:lvl>
  </w:abstractNum>
  <w:abstractNum w:abstractNumId="17">
    <w:nsid w:val="D7AADB44"/>
    <w:multiLevelType w:val="singleLevel"/>
    <w:tmpl w:val="D7AADB44"/>
    <w:lvl w:ilvl="0" w:tentative="0">
      <w:start w:val="1"/>
      <w:numFmt w:val="lowerLetter"/>
      <w:suff w:val="space"/>
      <w:lvlText w:val="%1)"/>
      <w:lvlJc w:val="left"/>
    </w:lvl>
  </w:abstractNum>
  <w:abstractNum w:abstractNumId="18">
    <w:nsid w:val="D9E99A69"/>
    <w:multiLevelType w:val="singleLevel"/>
    <w:tmpl w:val="D9E99A69"/>
    <w:lvl w:ilvl="0" w:tentative="0">
      <w:start w:val="1"/>
      <w:numFmt w:val="lowerLetter"/>
      <w:suff w:val="space"/>
      <w:lvlText w:val="%1)"/>
      <w:lvlJc w:val="left"/>
    </w:lvl>
  </w:abstractNum>
  <w:abstractNum w:abstractNumId="19">
    <w:nsid w:val="DB86F8FF"/>
    <w:multiLevelType w:val="singleLevel"/>
    <w:tmpl w:val="DB86F8FF"/>
    <w:lvl w:ilvl="0" w:tentative="0">
      <w:start w:val="1"/>
      <w:numFmt w:val="lowerLetter"/>
      <w:suff w:val="space"/>
      <w:lvlText w:val="%1)"/>
      <w:lvlJc w:val="left"/>
    </w:lvl>
  </w:abstractNum>
  <w:abstractNum w:abstractNumId="20">
    <w:nsid w:val="E0795257"/>
    <w:multiLevelType w:val="singleLevel"/>
    <w:tmpl w:val="E0795257"/>
    <w:lvl w:ilvl="0" w:tentative="0">
      <w:start w:val="1"/>
      <w:numFmt w:val="lowerLetter"/>
      <w:suff w:val="space"/>
      <w:lvlText w:val="%1)"/>
      <w:lvlJc w:val="left"/>
    </w:lvl>
  </w:abstractNum>
  <w:abstractNum w:abstractNumId="21">
    <w:nsid w:val="EB6D05D6"/>
    <w:multiLevelType w:val="singleLevel"/>
    <w:tmpl w:val="EB6D05D6"/>
    <w:lvl w:ilvl="0" w:tentative="0">
      <w:start w:val="1"/>
      <w:numFmt w:val="lowerLetter"/>
      <w:suff w:val="space"/>
      <w:lvlText w:val="%1)"/>
      <w:lvlJc w:val="left"/>
    </w:lvl>
  </w:abstractNum>
  <w:abstractNum w:abstractNumId="22">
    <w:nsid w:val="F47A4C02"/>
    <w:multiLevelType w:val="singleLevel"/>
    <w:tmpl w:val="F47A4C02"/>
    <w:lvl w:ilvl="0" w:tentative="0">
      <w:start w:val="1"/>
      <w:numFmt w:val="lowerLetter"/>
      <w:suff w:val="space"/>
      <w:lvlText w:val="%1)"/>
      <w:lvlJc w:val="left"/>
    </w:lvl>
  </w:abstractNum>
  <w:abstractNum w:abstractNumId="23">
    <w:nsid w:val="F81FF35D"/>
    <w:multiLevelType w:val="singleLevel"/>
    <w:tmpl w:val="F81FF35D"/>
    <w:lvl w:ilvl="0" w:tentative="0">
      <w:start w:val="1"/>
      <w:numFmt w:val="lowerLetter"/>
      <w:suff w:val="space"/>
      <w:lvlText w:val="%1)"/>
      <w:lvlJc w:val="left"/>
    </w:lvl>
  </w:abstractNum>
  <w:abstractNum w:abstractNumId="24">
    <w:nsid w:val="FDB647C3"/>
    <w:multiLevelType w:val="singleLevel"/>
    <w:tmpl w:val="FDB647C3"/>
    <w:lvl w:ilvl="0" w:tentative="0">
      <w:start w:val="1"/>
      <w:numFmt w:val="lowerLetter"/>
      <w:suff w:val="space"/>
      <w:lvlText w:val="%1)"/>
      <w:lvlJc w:val="left"/>
    </w:lvl>
  </w:abstractNum>
  <w:abstractNum w:abstractNumId="25">
    <w:nsid w:val="0562DC75"/>
    <w:multiLevelType w:val="singleLevel"/>
    <w:tmpl w:val="0562DC75"/>
    <w:lvl w:ilvl="0" w:tentative="0">
      <w:start w:val="1"/>
      <w:numFmt w:val="lowerLetter"/>
      <w:suff w:val="space"/>
      <w:lvlText w:val="%1)"/>
      <w:lvlJc w:val="left"/>
    </w:lvl>
  </w:abstractNum>
  <w:abstractNum w:abstractNumId="26">
    <w:nsid w:val="0E247884"/>
    <w:multiLevelType w:val="singleLevel"/>
    <w:tmpl w:val="0E247884"/>
    <w:lvl w:ilvl="0" w:tentative="0">
      <w:start w:val="1"/>
      <w:numFmt w:val="lowerLetter"/>
      <w:suff w:val="space"/>
      <w:lvlText w:val="%1)"/>
      <w:lvlJc w:val="left"/>
    </w:lvl>
  </w:abstractNum>
  <w:abstractNum w:abstractNumId="27">
    <w:nsid w:val="13593B07"/>
    <w:multiLevelType w:val="singleLevel"/>
    <w:tmpl w:val="13593B07"/>
    <w:lvl w:ilvl="0" w:tentative="0">
      <w:start w:val="1"/>
      <w:numFmt w:val="lowerLetter"/>
      <w:suff w:val="space"/>
      <w:lvlText w:val="%1)"/>
      <w:lvlJc w:val="left"/>
    </w:lvl>
  </w:abstractNum>
  <w:abstractNum w:abstractNumId="28">
    <w:nsid w:val="14B21A69"/>
    <w:multiLevelType w:val="singleLevel"/>
    <w:tmpl w:val="14B21A69"/>
    <w:lvl w:ilvl="0" w:tentative="0">
      <w:start w:val="1"/>
      <w:numFmt w:val="lowerLetter"/>
      <w:suff w:val="space"/>
      <w:lvlText w:val="%1)"/>
      <w:lvlJc w:val="left"/>
    </w:lvl>
  </w:abstractNum>
  <w:abstractNum w:abstractNumId="29">
    <w:nsid w:val="153322FC"/>
    <w:multiLevelType w:val="singleLevel"/>
    <w:tmpl w:val="153322FC"/>
    <w:lvl w:ilvl="0" w:tentative="0">
      <w:start w:val="1"/>
      <w:numFmt w:val="lowerLetter"/>
      <w:suff w:val="space"/>
      <w:lvlText w:val="%1)"/>
      <w:lvlJc w:val="left"/>
    </w:lvl>
  </w:abstractNum>
  <w:abstractNum w:abstractNumId="30">
    <w:nsid w:val="16CBA934"/>
    <w:multiLevelType w:val="singleLevel"/>
    <w:tmpl w:val="16CBA934"/>
    <w:lvl w:ilvl="0" w:tentative="0">
      <w:start w:val="1"/>
      <w:numFmt w:val="lowerLetter"/>
      <w:suff w:val="space"/>
      <w:lvlText w:val="%1)"/>
      <w:lvlJc w:val="left"/>
    </w:lvl>
  </w:abstractNum>
  <w:abstractNum w:abstractNumId="31">
    <w:nsid w:val="1AF9F624"/>
    <w:multiLevelType w:val="singleLevel"/>
    <w:tmpl w:val="1AF9F624"/>
    <w:lvl w:ilvl="0" w:tentative="0">
      <w:start w:val="1"/>
      <w:numFmt w:val="lowerLetter"/>
      <w:suff w:val="space"/>
      <w:lvlText w:val="%1)"/>
      <w:lvlJc w:val="left"/>
    </w:lvl>
  </w:abstractNum>
  <w:abstractNum w:abstractNumId="32">
    <w:nsid w:val="237F26B3"/>
    <w:multiLevelType w:val="singleLevel"/>
    <w:tmpl w:val="237F26B3"/>
    <w:lvl w:ilvl="0" w:tentative="0">
      <w:start w:val="1"/>
      <w:numFmt w:val="lowerLetter"/>
      <w:suff w:val="space"/>
      <w:lvlText w:val="%1)"/>
      <w:lvlJc w:val="left"/>
    </w:lvl>
  </w:abstractNum>
  <w:abstractNum w:abstractNumId="33">
    <w:nsid w:val="288A622C"/>
    <w:multiLevelType w:val="singleLevel"/>
    <w:tmpl w:val="288A622C"/>
    <w:lvl w:ilvl="0" w:tentative="0">
      <w:start w:val="1"/>
      <w:numFmt w:val="lowerLetter"/>
      <w:suff w:val="space"/>
      <w:lvlText w:val="%1)"/>
      <w:lvlJc w:val="left"/>
    </w:lvl>
  </w:abstractNum>
  <w:abstractNum w:abstractNumId="34">
    <w:nsid w:val="327DD635"/>
    <w:multiLevelType w:val="singleLevel"/>
    <w:tmpl w:val="327DD635"/>
    <w:lvl w:ilvl="0" w:tentative="0">
      <w:start w:val="1"/>
      <w:numFmt w:val="lowerLetter"/>
      <w:suff w:val="space"/>
      <w:lvlText w:val="%1)"/>
      <w:lvlJc w:val="left"/>
    </w:lvl>
  </w:abstractNum>
  <w:abstractNum w:abstractNumId="35">
    <w:nsid w:val="33CE68D5"/>
    <w:multiLevelType w:val="singleLevel"/>
    <w:tmpl w:val="33CE68D5"/>
    <w:lvl w:ilvl="0" w:tentative="0">
      <w:start w:val="1"/>
      <w:numFmt w:val="lowerLetter"/>
      <w:suff w:val="space"/>
      <w:lvlText w:val="%1)"/>
      <w:lvlJc w:val="left"/>
    </w:lvl>
  </w:abstractNum>
  <w:abstractNum w:abstractNumId="36">
    <w:nsid w:val="3504EB26"/>
    <w:multiLevelType w:val="multilevel"/>
    <w:tmpl w:val="3504EB26"/>
    <w:lvl w:ilvl="0" w:tentative="0">
      <w:start w:val="1"/>
      <w:numFmt w:val="decimal"/>
      <w:pStyle w:val="2"/>
      <w:suff w:val="space"/>
      <w:lvlText w:val="%1."/>
      <w:lvlJc w:val="left"/>
      <w:pPr>
        <w:tabs>
          <w:tab w:val="left" w:pos="0"/>
        </w:tabs>
        <w:ind w:left="432" w:hanging="432"/>
      </w:pPr>
      <w:rPr>
        <w:rFonts w:hint="default"/>
      </w:rPr>
    </w:lvl>
    <w:lvl w:ilvl="1" w:tentative="0">
      <w:start w:val="1"/>
      <w:numFmt w:val="decimal"/>
      <w:pStyle w:val="3"/>
      <w:suff w:val="space"/>
      <w:lvlText w:val="%1.%2"/>
      <w:lvlJc w:val="left"/>
      <w:pPr>
        <w:tabs>
          <w:tab w:val="left" w:pos="420"/>
        </w:tabs>
        <w:ind w:left="575" w:hanging="575"/>
      </w:pPr>
      <w:rPr>
        <w:rFonts w:hint="default"/>
      </w:rPr>
    </w:lvl>
    <w:lvl w:ilvl="2" w:tentative="0">
      <w:start w:val="1"/>
      <w:numFmt w:val="decimal"/>
      <w:pStyle w:val="4"/>
      <w:suff w:val="space"/>
      <w:lvlText w:val="%1.%2.%3"/>
      <w:lvlJc w:val="left"/>
      <w:pPr>
        <w:tabs>
          <w:tab w:val="left" w:pos="420"/>
        </w:tabs>
        <w:ind w:left="420" w:leftChars="0" w:hanging="420" w:firstLineChars="0"/>
      </w:pPr>
      <w:rPr>
        <w:rFonts w:hint="default"/>
      </w:rPr>
    </w:lvl>
    <w:lvl w:ilvl="3" w:tentative="0">
      <w:start w:val="1"/>
      <w:numFmt w:val="decimal"/>
      <w:pStyle w:val="5"/>
      <w:lvlText w:val="%1.%2.%3.%4"/>
      <w:lvlJc w:val="left"/>
      <w:pPr>
        <w:tabs>
          <w:tab w:val="left" w:pos="420"/>
        </w:tabs>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37">
    <w:nsid w:val="4F4ECB02"/>
    <w:multiLevelType w:val="singleLevel"/>
    <w:tmpl w:val="4F4ECB02"/>
    <w:lvl w:ilvl="0" w:tentative="0">
      <w:start w:val="1"/>
      <w:numFmt w:val="lowerLetter"/>
      <w:suff w:val="space"/>
      <w:lvlText w:val="%1)"/>
      <w:lvlJc w:val="left"/>
    </w:lvl>
  </w:abstractNum>
  <w:abstractNum w:abstractNumId="38">
    <w:nsid w:val="610D2820"/>
    <w:multiLevelType w:val="singleLevel"/>
    <w:tmpl w:val="610D2820"/>
    <w:lvl w:ilvl="0" w:tentative="0">
      <w:start w:val="1"/>
      <w:numFmt w:val="lowerLetter"/>
      <w:suff w:val="space"/>
      <w:lvlText w:val="%1)"/>
      <w:lvlJc w:val="left"/>
    </w:lvl>
  </w:abstractNum>
  <w:abstractNum w:abstractNumId="39">
    <w:nsid w:val="6441DF6B"/>
    <w:multiLevelType w:val="singleLevel"/>
    <w:tmpl w:val="6441DF6B"/>
    <w:lvl w:ilvl="0" w:tentative="0">
      <w:start w:val="1"/>
      <w:numFmt w:val="lowerLetter"/>
      <w:suff w:val="space"/>
      <w:lvlText w:val="%1)"/>
      <w:lvlJc w:val="left"/>
    </w:lvl>
  </w:abstractNum>
  <w:abstractNum w:abstractNumId="40">
    <w:nsid w:val="78211A84"/>
    <w:multiLevelType w:val="singleLevel"/>
    <w:tmpl w:val="78211A84"/>
    <w:lvl w:ilvl="0" w:tentative="0">
      <w:start w:val="1"/>
      <w:numFmt w:val="lowerLetter"/>
      <w:suff w:val="space"/>
      <w:lvlText w:val="%1)"/>
      <w:lvlJc w:val="left"/>
    </w:lvl>
  </w:abstractNum>
  <w:abstractNum w:abstractNumId="41">
    <w:nsid w:val="7AFB3809"/>
    <w:multiLevelType w:val="singleLevel"/>
    <w:tmpl w:val="7AFB3809"/>
    <w:lvl w:ilvl="0" w:tentative="0">
      <w:start w:val="1"/>
      <w:numFmt w:val="lowerLetter"/>
      <w:suff w:val="space"/>
      <w:lvlText w:val="%1)"/>
      <w:lvlJc w:val="left"/>
    </w:lvl>
  </w:abstractNum>
  <w:abstractNum w:abstractNumId="42">
    <w:nsid w:val="7B043021"/>
    <w:multiLevelType w:val="singleLevel"/>
    <w:tmpl w:val="7B043021"/>
    <w:lvl w:ilvl="0" w:tentative="0">
      <w:start w:val="1"/>
      <w:numFmt w:val="lowerLetter"/>
      <w:suff w:val="space"/>
      <w:lvlText w:val="%1)"/>
      <w:lvlJc w:val="left"/>
    </w:lvl>
  </w:abstractNum>
  <w:abstractNum w:abstractNumId="43">
    <w:nsid w:val="7BC6B4A8"/>
    <w:multiLevelType w:val="singleLevel"/>
    <w:tmpl w:val="7BC6B4A8"/>
    <w:lvl w:ilvl="0" w:tentative="0">
      <w:start w:val="1"/>
      <w:numFmt w:val="lowerLetter"/>
      <w:suff w:val="space"/>
      <w:lvlText w:val="%1)"/>
      <w:lvlJc w:val="left"/>
    </w:lvl>
  </w:abstractNum>
  <w:abstractNum w:abstractNumId="44">
    <w:nsid w:val="7E3600F2"/>
    <w:multiLevelType w:val="singleLevel"/>
    <w:tmpl w:val="7E3600F2"/>
    <w:lvl w:ilvl="0" w:tentative="0">
      <w:start w:val="1"/>
      <w:numFmt w:val="lowerLetter"/>
      <w:suff w:val="space"/>
      <w:lvlText w:val="%1)"/>
      <w:lvlJc w:val="left"/>
    </w:lvl>
  </w:abstractNum>
  <w:num w:numId="1">
    <w:abstractNumId w:val="36"/>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0"/>
  </w:num>
  <w:num w:numId="5">
    <w:abstractNumId w:val="9"/>
  </w:num>
  <w:num w:numId="6">
    <w:abstractNumId w:val="12"/>
  </w:num>
  <w:num w:numId="7">
    <w:abstractNumId w:val="1"/>
  </w:num>
  <w:num w:numId="8">
    <w:abstractNumId w:val="43"/>
  </w:num>
  <w:num w:numId="9">
    <w:abstractNumId w:val="4"/>
  </w:num>
  <w:num w:numId="10">
    <w:abstractNumId w:val="6"/>
  </w:num>
  <w:num w:numId="11">
    <w:abstractNumId w:val="33"/>
  </w:num>
  <w:num w:numId="12">
    <w:abstractNumId w:val="20"/>
  </w:num>
  <w:num w:numId="13">
    <w:abstractNumId w:val="30"/>
  </w:num>
  <w:num w:numId="14">
    <w:abstractNumId w:val="10"/>
  </w:num>
  <w:num w:numId="15">
    <w:abstractNumId w:val="32"/>
  </w:num>
  <w:num w:numId="16">
    <w:abstractNumId w:val="17"/>
  </w:num>
  <w:num w:numId="17">
    <w:abstractNumId w:val="37"/>
  </w:num>
  <w:num w:numId="18">
    <w:abstractNumId w:val="16"/>
  </w:num>
  <w:num w:numId="19">
    <w:abstractNumId w:val="34"/>
  </w:num>
  <w:num w:numId="20">
    <w:abstractNumId w:val="31"/>
  </w:num>
  <w:num w:numId="21">
    <w:abstractNumId w:val="0"/>
  </w:num>
  <w:num w:numId="22">
    <w:abstractNumId w:val="35"/>
  </w:num>
  <w:num w:numId="23">
    <w:abstractNumId w:val="3"/>
  </w:num>
  <w:num w:numId="24">
    <w:abstractNumId w:val="7"/>
  </w:num>
  <w:num w:numId="25">
    <w:abstractNumId w:val="19"/>
  </w:num>
  <w:num w:numId="26">
    <w:abstractNumId w:val="44"/>
  </w:num>
  <w:num w:numId="27">
    <w:abstractNumId w:val="25"/>
  </w:num>
  <w:num w:numId="28">
    <w:abstractNumId w:val="15"/>
  </w:num>
  <w:num w:numId="29">
    <w:abstractNumId w:val="41"/>
  </w:num>
  <w:num w:numId="30">
    <w:abstractNumId w:val="18"/>
  </w:num>
  <w:num w:numId="31">
    <w:abstractNumId w:val="5"/>
  </w:num>
  <w:num w:numId="32">
    <w:abstractNumId w:val="24"/>
  </w:num>
  <w:num w:numId="33">
    <w:abstractNumId w:val="27"/>
  </w:num>
  <w:num w:numId="34">
    <w:abstractNumId w:val="22"/>
  </w:num>
  <w:num w:numId="35">
    <w:abstractNumId w:val="11"/>
  </w:num>
  <w:num w:numId="36">
    <w:abstractNumId w:val="8"/>
  </w:num>
  <w:num w:numId="37">
    <w:abstractNumId w:val="13"/>
  </w:num>
  <w:num w:numId="38">
    <w:abstractNumId w:val="38"/>
  </w:num>
  <w:num w:numId="39">
    <w:abstractNumId w:val="39"/>
  </w:num>
  <w:num w:numId="40">
    <w:abstractNumId w:val="29"/>
  </w:num>
  <w:num w:numId="41">
    <w:abstractNumId w:val="23"/>
  </w:num>
  <w:num w:numId="42">
    <w:abstractNumId w:val="28"/>
  </w:num>
  <w:num w:numId="43">
    <w:abstractNumId w:val="26"/>
  </w:num>
  <w:num w:numId="44">
    <w:abstractNumId w:val="14"/>
  </w:num>
  <w:num w:numId="45">
    <w:abstractNumId w:val="42"/>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928B4"/>
    <w:rsid w:val="05F330A0"/>
    <w:rsid w:val="062953B1"/>
    <w:rsid w:val="08543A34"/>
    <w:rsid w:val="090A316E"/>
    <w:rsid w:val="0B2B65F2"/>
    <w:rsid w:val="0DF45918"/>
    <w:rsid w:val="0EC72662"/>
    <w:rsid w:val="144913EC"/>
    <w:rsid w:val="1A21040B"/>
    <w:rsid w:val="1A407E0C"/>
    <w:rsid w:val="200E4E99"/>
    <w:rsid w:val="207B5BA8"/>
    <w:rsid w:val="23FE3883"/>
    <w:rsid w:val="247A053B"/>
    <w:rsid w:val="26A265A3"/>
    <w:rsid w:val="2D3E2F42"/>
    <w:rsid w:val="2D776454"/>
    <w:rsid w:val="31BC4D7D"/>
    <w:rsid w:val="328E123F"/>
    <w:rsid w:val="34551A90"/>
    <w:rsid w:val="34A54D63"/>
    <w:rsid w:val="36165889"/>
    <w:rsid w:val="36703BB7"/>
    <w:rsid w:val="36783C30"/>
    <w:rsid w:val="37890786"/>
    <w:rsid w:val="38AA3B82"/>
    <w:rsid w:val="39310A01"/>
    <w:rsid w:val="3D6A7D83"/>
    <w:rsid w:val="3E676431"/>
    <w:rsid w:val="3F70219E"/>
    <w:rsid w:val="3F7752B1"/>
    <w:rsid w:val="3FF658FE"/>
    <w:rsid w:val="433B1FA6"/>
    <w:rsid w:val="4388574A"/>
    <w:rsid w:val="48A05826"/>
    <w:rsid w:val="4AE50F41"/>
    <w:rsid w:val="4B2E6C52"/>
    <w:rsid w:val="4B4A023B"/>
    <w:rsid w:val="4D2A47E7"/>
    <w:rsid w:val="501C7768"/>
    <w:rsid w:val="501F34BB"/>
    <w:rsid w:val="50F025BD"/>
    <w:rsid w:val="53463D4A"/>
    <w:rsid w:val="55911EF9"/>
    <w:rsid w:val="587A5914"/>
    <w:rsid w:val="5A504889"/>
    <w:rsid w:val="5ACB4059"/>
    <w:rsid w:val="5FB54A36"/>
    <w:rsid w:val="613D1187"/>
    <w:rsid w:val="615347F7"/>
    <w:rsid w:val="6A545C64"/>
    <w:rsid w:val="6B2519DB"/>
    <w:rsid w:val="70A34F98"/>
    <w:rsid w:val="738F1727"/>
    <w:rsid w:val="75942A1E"/>
    <w:rsid w:val="75CA30C7"/>
    <w:rsid w:val="76625C97"/>
    <w:rsid w:val="78547024"/>
    <w:rsid w:val="7A391F22"/>
    <w:rsid w:val="7A931305"/>
    <w:rsid w:val="7BA95510"/>
    <w:rsid w:val="7D604663"/>
    <w:rsid w:val="7D706405"/>
    <w:rsid w:val="7E837B48"/>
    <w:rsid w:val="7EE34A6B"/>
    <w:rsid w:val="7EF3405A"/>
    <w:rsid w:val="7FF70F0A"/>
    <w:rsid w:val="B7FAB764"/>
    <w:rsid w:val="FFF02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80" w:lineRule="exact"/>
      <w:ind w:firstLine="720"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link w:val="24"/>
    <w:qFormat/>
    <w:uiPriority w:val="0"/>
    <w:pPr>
      <w:numPr>
        <w:ilvl w:val="0"/>
        <w:numId w:val="1"/>
      </w:numPr>
      <w:tabs>
        <w:tab w:val="left" w:pos="420"/>
        <w:tab w:val="clear" w:pos="0"/>
      </w:tabs>
      <w:spacing w:before="0" w:beforeAutospacing="1" w:after="0" w:afterAutospacing="1"/>
      <w:ind w:left="0" w:firstLine="0" w:firstLineChars="0"/>
      <w:jc w:val="left"/>
      <w:outlineLvl w:val="0"/>
    </w:pPr>
    <w:rPr>
      <w:rFonts w:hint="eastAsia" w:ascii="宋体" w:hAnsi="宋体" w:eastAsia="黑体" w:cs="宋体"/>
      <w:b/>
      <w:bCs/>
      <w:kern w:val="44"/>
      <w:sz w:val="36"/>
      <w:szCs w:val="48"/>
      <w:lang w:bidi="ar"/>
    </w:rPr>
  </w:style>
  <w:style w:type="paragraph" w:styleId="3">
    <w:name w:val="heading 2"/>
    <w:basedOn w:val="1"/>
    <w:next w:val="1"/>
    <w:link w:val="25"/>
    <w:unhideWhenUsed/>
    <w:qFormat/>
    <w:uiPriority w:val="0"/>
    <w:pPr>
      <w:numPr>
        <w:ilvl w:val="1"/>
        <w:numId w:val="1"/>
      </w:numPr>
      <w:spacing w:before="260" w:beforeAutospacing="0" w:after="260" w:afterAutospacing="0"/>
      <w:ind w:left="575" w:hanging="575" w:firstLineChars="0"/>
      <w:jc w:val="left"/>
      <w:outlineLvl w:val="1"/>
    </w:pPr>
    <w:rPr>
      <w:rFonts w:hint="eastAsia" w:ascii="宋体" w:hAnsi="宋体" w:eastAsia="黑体" w:cs="宋体"/>
      <w:b/>
      <w:bCs/>
      <w:kern w:val="0"/>
      <w:sz w:val="32"/>
      <w:szCs w:val="36"/>
      <w:lang w:bidi="ar"/>
    </w:rPr>
  </w:style>
  <w:style w:type="paragraph" w:styleId="4">
    <w:name w:val="heading 3"/>
    <w:basedOn w:val="1"/>
    <w:next w:val="1"/>
    <w:link w:val="21"/>
    <w:unhideWhenUsed/>
    <w:qFormat/>
    <w:uiPriority w:val="0"/>
    <w:pPr>
      <w:numPr>
        <w:ilvl w:val="2"/>
        <w:numId w:val="1"/>
      </w:numPr>
      <w:spacing w:before="0" w:beforeAutospacing="1" w:after="-9849" w:afterAutospacing="1"/>
      <w:ind w:left="0" w:firstLine="720" w:firstLineChars="200"/>
      <w:jc w:val="left"/>
      <w:outlineLvl w:val="2"/>
    </w:pPr>
    <w:rPr>
      <w:rFonts w:hint="eastAsia" w:ascii="宋体" w:hAnsi="宋体" w:cs="宋体"/>
      <w:b/>
      <w:bCs/>
      <w:kern w:val="0"/>
      <w:szCs w:val="27"/>
      <w:lang w:bidi="ar"/>
    </w:rPr>
  </w:style>
  <w:style w:type="paragraph" w:styleId="5">
    <w:name w:val="heading 4"/>
    <w:basedOn w:val="1"/>
    <w:next w:val="1"/>
    <w:link w:val="23"/>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link w:val="26"/>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link w:val="27"/>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link w:val="28"/>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link w:val="20"/>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link w:val="22"/>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8">
    <w:name w:val="Default Paragraph Font"/>
    <w:semiHidden/>
    <w:qFormat/>
    <w:uiPriority w:val="0"/>
  </w:style>
  <w:style w:type="table" w:default="1" w:styleId="1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customStyle="1" w:styleId="20">
    <w:name w:val="标题 8 字符"/>
    <w:basedOn w:val="18"/>
    <w:link w:val="9"/>
    <w:qFormat/>
    <w:uiPriority w:val="0"/>
    <w:rPr>
      <w:rFonts w:ascii="Arial" w:hAnsi="Arial" w:eastAsia="黑体" w:cs="Times New Roman"/>
      <w:kern w:val="2"/>
      <w:sz w:val="24"/>
      <w:szCs w:val="24"/>
    </w:rPr>
  </w:style>
  <w:style w:type="character" w:customStyle="1" w:styleId="21">
    <w:name w:val="标题 3 字符"/>
    <w:basedOn w:val="18"/>
    <w:link w:val="4"/>
    <w:qFormat/>
    <w:uiPriority w:val="0"/>
    <w:rPr>
      <w:rFonts w:hint="eastAsia" w:ascii="宋体" w:hAnsi="宋体" w:eastAsia="仿宋_GB2312" w:cs="宋体"/>
      <w:b/>
      <w:bCs/>
      <w:sz w:val="32"/>
      <w:szCs w:val="27"/>
    </w:rPr>
  </w:style>
  <w:style w:type="character" w:customStyle="1" w:styleId="22">
    <w:name w:val="标题 9 字符"/>
    <w:basedOn w:val="18"/>
    <w:link w:val="10"/>
    <w:qFormat/>
    <w:uiPriority w:val="0"/>
    <w:rPr>
      <w:rFonts w:hint="default" w:ascii="Arial" w:hAnsi="Arial" w:eastAsia="黑体" w:cs="Times New Roman"/>
      <w:kern w:val="2"/>
      <w:sz w:val="21"/>
      <w:szCs w:val="24"/>
    </w:rPr>
  </w:style>
  <w:style w:type="character" w:customStyle="1" w:styleId="23">
    <w:name w:val="标题 4 字符"/>
    <w:basedOn w:val="18"/>
    <w:link w:val="5"/>
    <w:qFormat/>
    <w:uiPriority w:val="0"/>
    <w:rPr>
      <w:rFonts w:hint="default" w:ascii="Arial" w:hAnsi="Arial" w:eastAsia="黑体" w:cs="Times New Roman"/>
      <w:b/>
      <w:kern w:val="2"/>
      <w:sz w:val="28"/>
      <w:szCs w:val="24"/>
    </w:rPr>
  </w:style>
  <w:style w:type="character" w:customStyle="1" w:styleId="24">
    <w:name w:val="标题 1 字符"/>
    <w:basedOn w:val="18"/>
    <w:link w:val="2"/>
    <w:qFormat/>
    <w:uiPriority w:val="0"/>
    <w:rPr>
      <w:rFonts w:hint="eastAsia" w:ascii="宋体" w:hAnsi="宋体" w:eastAsia="黑体" w:cs="宋体"/>
      <w:b/>
      <w:bCs/>
      <w:kern w:val="44"/>
      <w:sz w:val="36"/>
      <w:szCs w:val="48"/>
    </w:rPr>
  </w:style>
  <w:style w:type="character" w:customStyle="1" w:styleId="25">
    <w:name w:val="标题 2 字符"/>
    <w:basedOn w:val="18"/>
    <w:link w:val="3"/>
    <w:qFormat/>
    <w:uiPriority w:val="0"/>
    <w:rPr>
      <w:rFonts w:hint="eastAsia" w:ascii="宋体" w:hAnsi="宋体" w:eastAsia="黑体" w:cs="宋体"/>
      <w:b/>
      <w:bCs/>
      <w:sz w:val="32"/>
      <w:szCs w:val="36"/>
    </w:rPr>
  </w:style>
  <w:style w:type="character" w:customStyle="1" w:styleId="26">
    <w:name w:val="标题 5 字符"/>
    <w:basedOn w:val="18"/>
    <w:link w:val="6"/>
    <w:qFormat/>
    <w:uiPriority w:val="0"/>
    <w:rPr>
      <w:rFonts w:hint="default" w:ascii="Calibri" w:hAnsi="Calibri" w:eastAsia="仿宋_GB2312" w:cs="Times New Roman"/>
      <w:b/>
      <w:kern w:val="2"/>
      <w:sz w:val="28"/>
      <w:szCs w:val="24"/>
    </w:rPr>
  </w:style>
  <w:style w:type="character" w:customStyle="1" w:styleId="27">
    <w:name w:val="标题 6 字符"/>
    <w:basedOn w:val="18"/>
    <w:link w:val="7"/>
    <w:qFormat/>
    <w:uiPriority w:val="0"/>
    <w:rPr>
      <w:rFonts w:hint="default" w:ascii="Arial" w:hAnsi="Arial" w:eastAsia="黑体" w:cs="Times New Roman"/>
      <w:b/>
      <w:kern w:val="2"/>
      <w:sz w:val="24"/>
      <w:szCs w:val="24"/>
    </w:rPr>
  </w:style>
  <w:style w:type="character" w:customStyle="1" w:styleId="28">
    <w:name w:val="标题 7 字符"/>
    <w:basedOn w:val="18"/>
    <w:link w:val="8"/>
    <w:qFormat/>
    <w:uiPriority w:val="0"/>
    <w:rPr>
      <w:rFonts w:hint="default" w:ascii="Calibri" w:hAnsi="Calibri" w:eastAsia="仿宋_GB2312" w:cs="Times New Roman"/>
      <w:b/>
      <w:kern w:val="2"/>
      <w:sz w:val="24"/>
      <w:szCs w:val="24"/>
    </w:rPr>
  </w:style>
  <w:style w:type="paragraph" w:customStyle="1" w:styleId="29">
    <w:name w:val="表格"/>
    <w:basedOn w:val="1"/>
    <w:qFormat/>
    <w:uiPriority w:val="0"/>
    <w:pPr>
      <w:spacing w:line="240" w:lineRule="auto"/>
      <w:ind w:firstLine="0" w:firstLineChars="0"/>
      <w:jc w:val="center"/>
    </w:pPr>
    <w:rPr>
      <w:rFonts w:hint="default"/>
      <w:sz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381</Words>
  <Characters>400</Characters>
  <Lines>0</Lines>
  <Paragraphs>0</Paragraphs>
  <TotalTime>6</TotalTime>
  <ScaleCrop>false</ScaleCrop>
  <LinksUpToDate>false</LinksUpToDate>
  <CharactersWithSpaces>401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2026-04-18T06:24:00Z</dcterms:created>
  <dc:creator>Administrator</dc:creator>
  <cp:lastModifiedBy>zyl小鲤</cp:lastModifiedBy>
  <cp:lastPrinted>2026-05-14T16:53:00Z</cp:lastPrinted>
  <dcterms:modified xsi:type="dcterms:W3CDTF">2026-05-18T07:55:41Z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eyJoZGlkIjoiOGViYTA1ZjUyMTk3NzYzZjVkNWYzN2E4YTFiYjg2MmMiLCJ1c2VySWQiOiI4NTY1ODc3MDAifQ==</vt:lpwstr>
  </property>
  <property fmtid="{D5CDD505-2E9C-101B-9397-08002B2CF9AE}" pid="4" name="ICV">
    <vt:lpwstr>D32B873C78B24C6082749B5B5BC185C9_13</vt:lpwstr>
  </property>
</Properties>
</file>