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202</w:t>
      </w:r>
      <w:r>
        <w:rPr>
          <w:rFonts w:hint="default"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6</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年度</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河南省</w:t>
      </w:r>
      <w:r>
        <w:rPr>
          <w:rFonts w:hint="default" w:ascii="方正小标宋_GBK" w:hAnsi="方正小标宋_GBK" w:eastAsia="方正小标宋_GBK" w:cs="方正小标宋_GBK"/>
          <w:b w:val="0"/>
          <w:bCs w:val="0"/>
          <w:color w:val="000000" w:themeColor="text1"/>
          <w:sz w:val="44"/>
          <w:szCs w:val="44"/>
          <w:lang w:val="en-US"/>
          <w14:textFill>
            <w14:solidFill>
              <w14:schemeClr w14:val="tx1"/>
            </w14:solidFill>
          </w14:textFill>
        </w:rPr>
        <w:t>县（市）创新引导计划</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受理项目公示清单</w:t>
      </w:r>
    </w:p>
    <w:tbl>
      <w:tblPr>
        <w:tblStyle w:val="7"/>
        <w:tblW w:w="13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1" w:type="dxa"/>
          <w:bottom w:w="0" w:type="dxa"/>
          <w:right w:w="51" w:type="dxa"/>
        </w:tblCellMar>
      </w:tblPr>
      <w:tblGrid>
        <w:gridCol w:w="695"/>
        <w:gridCol w:w="1547"/>
        <w:gridCol w:w="1547"/>
        <w:gridCol w:w="6167"/>
        <w:gridCol w:w="3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669" w:hRule="atLeast"/>
          <w:tblHeader/>
          <w:jc w:val="center"/>
        </w:trPr>
        <w:tc>
          <w:tcPr>
            <w:tcW w:w="695"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序号</w:t>
            </w:r>
          </w:p>
        </w:tc>
        <w:tc>
          <w:tcPr>
            <w:tcW w:w="1547"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省辖市</w:t>
            </w:r>
          </w:p>
        </w:tc>
        <w:tc>
          <w:tcPr>
            <w:tcW w:w="1547"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pPr>
            <w:r>
              <w:rPr>
                <w:rFonts w:hint="default" w:ascii="黑体" w:hAnsi="黑体" w:eastAsia="黑体" w:cs="黑体"/>
                <w:i w:val="0"/>
                <w:iCs w:val="0"/>
                <w:color w:val="000000" w:themeColor="text1"/>
                <w:kern w:val="0"/>
                <w:sz w:val="24"/>
                <w:szCs w:val="24"/>
                <w:u w:val="none"/>
                <w:lang w:val="en-US" w:eastAsia="zh-CN" w:bidi="ar"/>
                <w14:textFill>
                  <w14:solidFill>
                    <w14:schemeClr w14:val="tx1"/>
                  </w14:solidFill>
                </w14:textFill>
              </w:rPr>
              <w:t>县（市）、区</w:t>
            </w:r>
          </w:p>
        </w:tc>
        <w:tc>
          <w:tcPr>
            <w:tcW w:w="6167"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项目名称</w:t>
            </w:r>
          </w:p>
        </w:tc>
        <w:tc>
          <w:tcPr>
            <w:tcW w:w="3745" w:type="dxa"/>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黑体" w:hAnsi="黑体" w:eastAsia="黑体" w:cs="黑体"/>
                <w:i w:val="0"/>
                <w:iCs w:val="0"/>
                <w:color w:val="000000" w:themeColor="text1"/>
                <w:sz w:val="24"/>
                <w:szCs w:val="24"/>
                <w:u w:val="none"/>
                <w14:textFill>
                  <w14:solidFill>
                    <w14:schemeClr w14:val="tx1"/>
                  </w14:solidFill>
                </w14:textFill>
              </w:rPr>
            </w:pPr>
            <w:r>
              <w:rPr>
                <w:rFonts w:hint="eastAsia" w:ascii="黑体" w:hAnsi="黑体" w:eastAsia="黑体" w:cs="黑体"/>
                <w:i w:val="0"/>
                <w:iCs w:val="0"/>
                <w:color w:val="000000" w:themeColor="text1"/>
                <w:kern w:val="0"/>
                <w:sz w:val="24"/>
                <w:szCs w:val="24"/>
                <w:u w:val="none"/>
                <w:lang w:val="en-US" w:eastAsia="zh-CN" w:bidi="ar"/>
                <w14:textFill>
                  <w14:solidFill>
                    <w14:schemeClr w14:val="tx1"/>
                  </w14:solidFill>
                </w14:textFill>
              </w:rPr>
              <w:t>项目承担单位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sz w:val="24"/>
                <w:szCs w:val="24"/>
                <w:u w:val="none"/>
                <w:lang w:eastAsia="zh-CN"/>
              </w:rPr>
              <w:t>郑州市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新郑市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冷冻酸面团制备关键技术研究及产业化示范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郑州市人人利食品有限公司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开封市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祥符区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河南斗鸡新品系选育及健康养殖关键技术集成示范与推广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河南省长兴农牧有限公司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尉氏县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优质水果深加工关键技术集成与示范推广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开封市三锋食品饮料有限公司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洛阳市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伊川县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丹参优质种苗繁育及标准化种植技术研究与推广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洛阳易地苑农业科技有限公司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嵩县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肉兔养殖及兔肉精深加工技术的研发与示范推广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洛阳鑫泰农牧科技股份有限公司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平顶山市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叶县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高泡持性植物蛋白啤酒泡沫稳定剂制备关键技术及产业化示范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平顶山天晶植物蛋白有限责任公司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鲁山县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蜂蜜绿色产品加工技术的研发与示范应用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鲁山县东海养殖有限公司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焦作市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武陟县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规模化白羽肉鸡全过程无抗养殖及智能调控系统的研究与应用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河南田中禾农牧有限公司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孟州市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分离法小麦淀粉提质增亮关键技术研究及高品质粉丝专用粉产业化示范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河南汉永农业发展有限公司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鹤壁市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浚县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基于基因组选择的健康节粮型种猪选育技术研发与推广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河南省谊发牧业有限责任公司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11</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新乡市</w:t>
            </w:r>
            <w:bookmarkStart w:id="0" w:name="_GoBack"/>
            <w:bookmarkEnd w:id="0"/>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辉县市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基于氮素稳定技术的系列稳定性肥料产品研发与示范推广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河南永昌硝基肥有限公司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延津县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熟湿面乳酸保鲜与品质稳定控制关键技术与产业化应用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延津克明五谷道场食品有限公司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13</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安阳市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内黄县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高精度微电流互感器磁芯智能定向制造关键技术研发及应用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河南日尧电气有限公司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14</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安阳县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食用菌“养菌-出菇”一体化智能仓装备的研发及应用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河南日星智能装备有限公司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15</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濮阳市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台前县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高品质羽绒精深加工关键技术研究及产业化示范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河南省中威新塘羽绒有限公司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16</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清丰县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新型保水保肥协同增效功能性肥料关键技术研发及产业化示范推广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河南顿贝农业科技有限公司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17</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许昌市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建安区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玉米单产提升关键技术创新集成与推广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许昌农科种业有限公司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18</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鄢陵县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高产抗疫病辣椒示范推广与产业化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鄢陵县瑞朴农牧有限公司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19</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漯河市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召陵区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基于共生智能菌团的生物有机肥农田应用示范与推广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正大环境科技(漯河)有限公司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20</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三门峡市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卢氏县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连翘新兽用制剂的研制、注册及产业化</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三门峡市瑞之恒药业有限公司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21</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灵宝市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樱桃良种组培繁育及智慧栽培技术研究与示范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灵宝市鼎宏农业科技开发有限公司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22</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南阳市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镇平县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抗疱疹病毒锦鲤新品系引进培育及示范推广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镇平县长彦观赏鱼养殖有限公司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23</w:t>
            </w:r>
          </w:p>
        </w:tc>
        <w:tc>
          <w:tcPr>
            <w:tcW w:w="154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新野县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航艾1号特色药材集成栽培技术研究与推广应用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南阳召父农业科技开发有限公司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24</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西峡县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食用菌全产业链智能化高效栽培与精深加工融合示范推广应用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南阳两仪食品科技有限公司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25</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商丘市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睢阳区</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一种基于农作物虫害防治的甲维-茚虫威-苏云杆菌蛋白复配产品集成应用与示范推广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河南瀚斯作物保护有限公司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26</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宁陵县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梨轻简化栽培模式及技术集成与示范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河南商丘国家农业科技园区管理委员会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27</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信阳市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罗山县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茶-油茶复合生态种植模式构建及智慧管理技术集成示范与推广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罗山县春毛农业开发有限公司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28</w:t>
            </w:r>
          </w:p>
        </w:tc>
        <w:tc>
          <w:tcPr>
            <w:tcW w:w="154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光山县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豫南露地黄桃新品种培育与高产栽培技术攻关及示范推广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光山县友全农业开发有限公司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新县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优质草莓培育及推广示范</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中莓兴农（新县）科技有限公司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30</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周口市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商水县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养殖场粪污资源化利用项目技术研究与应用</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商水牧原农牧有限公司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31</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郸城县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周口国家农高区小麦育繁推一体化建设项目</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河南农高种业科技有限公司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32</w:t>
            </w:r>
          </w:p>
        </w:tc>
        <w:tc>
          <w:tcPr>
            <w:tcW w:w="15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2"/>
                <w:sz w:val="24"/>
                <w:szCs w:val="24"/>
                <w:u w:val="none"/>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驻马店市</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遂平县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箬叶速冻护绿关键技术集成与县域富民产业链示范推广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遂平县领鑫农业科技有限公司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33</w:t>
            </w:r>
          </w:p>
        </w:tc>
        <w:tc>
          <w:tcPr>
            <w:tcW w:w="15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泌阳县</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香菇产业智能控制技术集成与推广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泌阳县大地菌业有限公司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1" w:type="dxa"/>
            <w:bottom w:w="0" w:type="dxa"/>
            <w:right w:w="51" w:type="dxa"/>
          </w:tblCellMar>
        </w:tblPrEx>
        <w:trPr>
          <w:cantSplit/>
          <w:trHeight w:val="567" w:hRule="atLeast"/>
          <w:tblHeader/>
          <w:jc w:val="center"/>
        </w:trPr>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34</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0"/>
                <w:sz w:val="24"/>
                <w:szCs w:val="24"/>
                <w:u w:val="none"/>
                <w:lang w:val="en-US" w:eastAsia="zh-CN" w:bidi="ar"/>
                <w14:textFill>
                  <w14:solidFill>
                    <w14:schemeClr w14:val="tx1"/>
                  </w14:solidFill>
                </w14:textFill>
              </w:rPr>
              <w:t>济源示范区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济源市</w:t>
            </w:r>
          </w:p>
        </w:tc>
        <w:tc>
          <w:tcPr>
            <w:tcW w:w="6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特色功能小麦提质增效关键技术研究集成与示范推广</w:t>
            </w:r>
          </w:p>
        </w:tc>
        <w:tc>
          <w:tcPr>
            <w:tcW w:w="37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济源市农业科学院</w:t>
            </w:r>
          </w:p>
        </w:tc>
      </w:tr>
    </w:tbl>
    <w:p>
      <w:pPr>
        <w:rPr>
          <w:rFonts w:hint="eastAsia" w:ascii="仿宋_GB2312" w:hAnsi="仿宋_GB2312" w:eastAsia="仿宋_GB2312" w:cs="仿宋_GB2312"/>
        </w:rPr>
      </w:pPr>
    </w:p>
    <w:sectPr>
      <w:pgSz w:w="16838" w:h="11906" w:orient="landscape"/>
      <w:pgMar w:top="1531" w:right="1984" w:bottom="1531" w:left="181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E682A"/>
    <w:rsid w:val="1BFFF98C"/>
    <w:rsid w:val="29906D93"/>
    <w:rsid w:val="2EF64716"/>
    <w:rsid w:val="3DEEC968"/>
    <w:rsid w:val="3F0E682A"/>
    <w:rsid w:val="3F7710B5"/>
    <w:rsid w:val="57FEF9A5"/>
    <w:rsid w:val="5BFCEF4B"/>
    <w:rsid w:val="5CD753A9"/>
    <w:rsid w:val="5E9FA2CE"/>
    <w:rsid w:val="5FFDBECE"/>
    <w:rsid w:val="6ECB90EA"/>
    <w:rsid w:val="6FDFEB7D"/>
    <w:rsid w:val="71EE0CFB"/>
    <w:rsid w:val="7CF3AADE"/>
    <w:rsid w:val="7CF4527E"/>
    <w:rsid w:val="7DD3E1AA"/>
    <w:rsid w:val="7DFFFFDA"/>
    <w:rsid w:val="7F7FC5F4"/>
    <w:rsid w:val="7F7FE4AE"/>
    <w:rsid w:val="856BD842"/>
    <w:rsid w:val="8CBDA9BE"/>
    <w:rsid w:val="9ADF3C0E"/>
    <w:rsid w:val="ADEE9667"/>
    <w:rsid w:val="DE6F01C0"/>
    <w:rsid w:val="E6FA1999"/>
    <w:rsid w:val="EFFCF7AD"/>
    <w:rsid w:val="EFFF7DE8"/>
    <w:rsid w:val="F7C78F6E"/>
    <w:rsid w:val="FD4ABA52"/>
    <w:rsid w:val="FDFDC7BC"/>
    <w:rsid w:val="FED23137"/>
    <w:rsid w:val="FF6D3B28"/>
    <w:rsid w:val="FFD5CF34"/>
    <w:rsid w:val="FFFF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qFormat/>
    <w:uiPriority w:val="0"/>
    <w:pPr>
      <w:keepNext/>
      <w:keepLines/>
      <w:spacing w:line="580" w:lineRule="exact"/>
      <w:ind w:firstLine="200" w:firstLineChars="200"/>
      <w:jc w:val="left"/>
      <w:outlineLvl w:val="0"/>
    </w:pPr>
    <w:rPr>
      <w:rFonts w:ascii="Times New Roman" w:hAnsi="Times New Roman" w:eastAsia="黑体"/>
      <w:bCs/>
      <w:kern w:val="44"/>
      <w:sz w:val="32"/>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line="620" w:lineRule="exact"/>
      <w:ind w:firstLine="420"/>
    </w:pPr>
    <w:rPr>
      <w:szCs w:val="24"/>
    </w:rPr>
  </w:style>
  <w:style w:type="paragraph" w:styleId="3">
    <w:name w:val="Body Text 2"/>
    <w:basedOn w:val="1"/>
    <w:next w:val="4"/>
    <w:qFormat/>
    <w:uiPriority w:val="0"/>
    <w:pPr>
      <w:adjustRightInd w:val="0"/>
      <w:spacing w:line="360" w:lineRule="auto"/>
      <w:textAlignment w:val="baseline"/>
    </w:pPr>
    <w:rPr>
      <w:rFonts w:ascii="楷体_GB2312" w:eastAsia="楷体_GB2312"/>
      <w:kern w:val="44"/>
      <w:sz w:val="2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Date"/>
    <w:basedOn w:val="1"/>
    <w:next w:val="1"/>
    <w:qFormat/>
    <w:uiPriority w:val="0"/>
    <w:pPr>
      <w:adjustRightInd w:val="0"/>
      <w:spacing w:line="360" w:lineRule="atLeast"/>
      <w:textAlignment w:val="baseline"/>
    </w:pPr>
    <w:rPr>
      <w:kern w:val="0"/>
      <w:sz w:val="2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font11"/>
    <w:basedOn w:val="9"/>
    <w:qFormat/>
    <w:uiPriority w:val="0"/>
    <w:rPr>
      <w:rFonts w:hint="default" w:ascii="仿宋_GB2312" w:eastAsia="仿宋_GB2312" w:cs="仿宋_GB2312"/>
      <w:color w:val="000000"/>
      <w:sz w:val="22"/>
      <w:szCs w:val="22"/>
      <w:u w:val="none"/>
    </w:rPr>
  </w:style>
  <w:style w:type="paragraph" w:customStyle="1" w:styleId="12">
    <w:name w:val="Default"/>
    <w:next w:val="13"/>
    <w:qFormat/>
    <w:uiPriority w:val="0"/>
    <w:pPr>
      <w:widowControl w:val="0"/>
      <w:autoSpaceDE w:val="0"/>
      <w:autoSpaceDN w:val="0"/>
      <w:adjustRightInd w:val="0"/>
    </w:pPr>
    <w:rPr>
      <w:rFonts w:ascii="宋体" w:hAnsi="Times New Roman" w:eastAsia="Times New Roman" w:cs="宋体"/>
      <w:color w:val="000000"/>
      <w:sz w:val="24"/>
      <w:szCs w:val="24"/>
      <w:lang w:val="en-US" w:eastAsia="zh-CN" w:bidi="ar-SA"/>
    </w:rPr>
  </w:style>
  <w:style w:type="paragraph" w:customStyle="1" w:styleId="13">
    <w:name w:val="Char Char10 Char Char Char Char"/>
    <w:basedOn w:val="1"/>
    <w:next w:val="14"/>
    <w:qFormat/>
    <w:uiPriority w:val="0"/>
    <w:rPr>
      <w:kern w:val="0"/>
    </w:rPr>
  </w:style>
  <w:style w:type="paragraph" w:customStyle="1" w:styleId="14">
    <w:name w:val="xl87"/>
    <w:basedOn w:val="1"/>
    <w:next w:val="15"/>
    <w:qFormat/>
    <w:uiPriority w:val="0"/>
    <w:pPr>
      <w:widowControl/>
      <w:shd w:val="clear" w:color="FFFFFF" w:fill="FFFFFF"/>
      <w:spacing w:before="280" w:after="280"/>
      <w:jc w:val="right"/>
    </w:pPr>
    <w:rPr>
      <w:rFonts w:ascii="宋体"/>
      <w:kern w:val="0"/>
      <w:sz w:val="24"/>
    </w:rPr>
  </w:style>
  <w:style w:type="paragraph" w:customStyle="1" w:styleId="15">
    <w:name w:val="xl72"/>
    <w:basedOn w:val="1"/>
    <w:next w:val="6"/>
    <w:qFormat/>
    <w:uiPriority w:val="0"/>
    <w:pPr>
      <w:widowControl/>
      <w:shd w:val="clear" w:color="FFFFFF" w:fill="FFFFFF"/>
      <w:spacing w:before="280" w:after="280"/>
      <w:jc w:val="right"/>
    </w:pPr>
    <w:rPr>
      <w:rFonts w:asci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2025-06-08T23:25:00Z</dcterms:created>
  <dc:creator> </dc:creator>
  <cp:lastModifiedBy> </cp:lastModifiedBy>
  <dcterms:modified xsi:type="dcterms:W3CDTF">2026-06-02T18:48:25Z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10C1AAEEFB7DD0E8BB971E6A91443359</vt:lpwstr>
  </property>
</Properties>
</file>