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01E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国标小标宋" w:hAnsi="国标小标宋" w:eastAsia="国标小标宋" w:cs="国标小标宋"/>
          <w:sz w:val="44"/>
          <w:szCs w:val="44"/>
        </w:rPr>
      </w:pPr>
      <w:r>
        <w:rPr>
          <w:rFonts w:hint="eastAsia" w:ascii="国标小标宋" w:hAnsi="国标小标宋" w:eastAsia="国标小标宋" w:cs="国标小标宋"/>
          <w:sz w:val="44"/>
          <w:szCs w:val="44"/>
        </w:rPr>
        <w:t>河南省基层医疗卫生机构医疗质量改善</w:t>
      </w:r>
    </w:p>
    <w:p w14:paraId="67785CF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国标小标宋" w:hAnsi="国标小标宋" w:eastAsia="国标小标宋" w:cs="国标小标宋"/>
          <w:sz w:val="44"/>
          <w:szCs w:val="44"/>
        </w:rPr>
      </w:pPr>
      <w:r>
        <w:rPr>
          <w:rFonts w:hint="eastAsia" w:ascii="国标小标宋" w:hAnsi="国标小标宋" w:eastAsia="国标小标宋" w:cs="国标小标宋"/>
          <w:sz w:val="44"/>
          <w:szCs w:val="44"/>
        </w:rPr>
        <w:t>三年行动实施方案（2026-2028年）</w:t>
      </w:r>
    </w:p>
    <w:p w14:paraId="5B889E8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国标小标宋" w:hAnsi="国标小标宋" w:eastAsia="国标小标宋" w:cs="国标小标宋"/>
          <w:sz w:val="36"/>
          <w:szCs w:val="36"/>
        </w:rPr>
      </w:pPr>
    </w:p>
    <w:p w14:paraId="3226A8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eastAsia="zh-CN"/>
        </w:rPr>
        <w:t>深入贯彻落实《医疗卫生强基工程实施方案》，加强基层医疗卫生机构医疗质量管理，提高基层医疗卫生机构医疗服务规范性和同质化水平，保障医疗质量和医疗安全，根据国家卫生健康委、国家中医药局《关于开展基层医疗卫生机构医疗质量改善三年行动（2026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2028年）的通知》（国卫办基层发〔2026〕4号）要求，结合我省实际，制定本实施方案。</w:t>
      </w:r>
    </w:p>
    <w:p w14:paraId="0113D19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 xml:space="preserve">    一、</w:t>
      </w:r>
      <w:r>
        <w:rPr>
          <w:rFonts w:hint="eastAsia" w:ascii="黑体" w:hAnsi="黑体" w:eastAsia="黑体" w:cs="黑体"/>
          <w:sz w:val="32"/>
          <w:szCs w:val="32"/>
          <w:lang w:val="en-US" w:eastAsia="zh-CN"/>
        </w:rPr>
        <w:t>目标要求</w:t>
      </w:r>
    </w:p>
    <w:p w14:paraId="2FF45B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习近平新时代中国特色社会主义思想为指导，深入贯彻党的二十大和二十届历次全会精神，坚持以人民健康为中心，坚持以基层为重点，提高基层医疗卫生机构服务规范性和同质化水平，压实医疗质量管理责任，完善医疗质量管理制度，保障医疗质量和医疗安全，不断增强人民群众获得感。2026年，全省所有乡镇卫生院、社区卫生服务中心、村卫生室启动实施医疗质量改善三年行动。2026年底，全省县域医疗卫生次中心（重点中心乡镇卫生院）、实际开放30张以上床位的社区卫生服务中心以及服务能力达到国家推荐标准的乡镇卫生院和社区卫生服务中心健全医疗质量管理制度，常态化开展医疗质量管理工作。到2027年底，全省所有的乡镇卫生院和社区卫生服务中心健全医疗质量管理制度，常态化开展医疗质量管理工作。到2028年底，村卫生室和社区卫生服务站纳入医疗质量管理体系，基层医疗卫生机构医疗服务规范性显著提升，医疗质量明显改善。</w:t>
      </w:r>
    </w:p>
    <w:p w14:paraId="4F75707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实施路径</w:t>
      </w:r>
    </w:p>
    <w:p w14:paraId="5F53F7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开展医联体建设（含紧密型县域医共体、紧密型城市医疗集团） 的县（市、区），以医联体为单元，以乡镇卫生院（社区卫生服务中心）为重点，逐步延伸至村卫生室（社区卫生服务站）；实行“区社一体”协作模式的，以社区卫生服务中心为重点，逐步延伸至社区卫生服务站；辖区内无二级及以上医疗卫生机构的，由市级卫生健康部门负责指导辖区内社区卫生服务中心（乡镇卫生院）与临近的二级以上医疗卫生机构或省、市级医疗卫生机构建立帮扶关系，开展医疗质量管理，逐步延伸至社区卫生服务站。</w:t>
      </w:r>
    </w:p>
    <w:p w14:paraId="1357823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工作重点</w:t>
      </w:r>
    </w:p>
    <w:p w14:paraId="76B29D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方正楷体_GBK" w:hAnsi="方正楷体_GBK" w:eastAsia="方正楷体_GBK" w:cs="方正楷体_GBK"/>
          <w:sz w:val="32"/>
          <w:szCs w:val="32"/>
          <w:lang w:val="en-US" w:eastAsia="zh-CN"/>
        </w:rPr>
        <w:t>（一）完善医疗质量管理制度。</w:t>
      </w:r>
      <w:r>
        <w:rPr>
          <w:rFonts w:hint="eastAsia" w:ascii="仿宋_GB2312" w:hAnsi="仿宋_GB2312" w:eastAsia="仿宋_GB2312" w:cs="仿宋_GB2312"/>
          <w:sz w:val="32"/>
          <w:szCs w:val="32"/>
          <w:lang w:val="en-US" w:eastAsia="zh-CN"/>
        </w:rPr>
        <w:t>在医联体内成立由牵头医</w:t>
      </w:r>
    </w:p>
    <w:p w14:paraId="0CF9826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院、基层医疗卫生机构主要负责人负责的医疗质量管理工作组织，指定专门部门或者专门人员具体负责医疗质量日常管理工作，指导基层医疗卫生机构建立健全本机构各项医疗质量管理制度，强化重点环节和重点领域的日常管理，推动牵头医院与基层成员单位制度同源、标准统一、流程一致。基层医疗卫生机构健全机构内医疗质量管理体系，成立由机构主要负责人为第一责任人的医疗质量管理委员会（或</w:t>
      </w:r>
      <w:r>
        <w:rPr>
          <w:rFonts w:hint="eastAsia" w:ascii="仿宋_GB2312" w:hAnsi="仿宋_GB2312" w:eastAsia="仿宋_GB2312" w:cs="仿宋_GB2312"/>
          <w:i w:val="0"/>
          <w:iCs w:val="0"/>
          <w:caps w:val="0"/>
          <w:spacing w:val="0"/>
          <w:sz w:val="32"/>
          <w:szCs w:val="32"/>
          <w:shd w:val="clear" w:color="auto" w:fill="auto"/>
        </w:rPr>
        <w:t>工作组</w:t>
      </w:r>
      <w:r>
        <w:rPr>
          <w:rFonts w:hint="eastAsia" w:ascii="仿宋_GB2312" w:hAnsi="仿宋_GB2312" w:eastAsia="仿宋_GB2312" w:cs="仿宋_GB2312"/>
          <w:sz w:val="32"/>
          <w:szCs w:val="32"/>
          <w:lang w:val="en-US" w:eastAsia="zh-CN"/>
        </w:rPr>
        <w:t>），完善本机构各项医疗质量管理制度；各科室要成立科室医疗质量管理小组，科主任为第一责任人，建立健全各科室医疗质量与安全管理制度、工作计划和工作记录；机构要建立医疗质量反馈和改进制度，每季度至少召开一次医疗质量管理专题会议，对医疗质量管理工作进行定期考核，利用多种形式对医疗质量控制的结果及成效进行反馈通报，建立医疗质量反馈和改进制度。</w:t>
      </w:r>
    </w:p>
    <w:p w14:paraId="05E4073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方正楷体_GBK" w:hAnsi="方正楷体_GBK" w:eastAsia="方正楷体_GBK" w:cs="方正楷体_GBK"/>
          <w:sz w:val="32"/>
          <w:szCs w:val="32"/>
          <w:lang w:val="en-US" w:eastAsia="zh-CN"/>
        </w:rPr>
        <w:t>（二）强化医务人员培训。</w:t>
      </w:r>
      <w:r>
        <w:rPr>
          <w:rFonts w:hint="eastAsia" w:ascii="仿宋_GB2312" w:hAnsi="仿宋_GB2312" w:eastAsia="仿宋_GB2312" w:cs="仿宋_GB2312"/>
          <w:sz w:val="32"/>
          <w:szCs w:val="32"/>
          <w:lang w:val="en-US" w:eastAsia="zh-CN"/>
        </w:rPr>
        <w:t>医联体牵头医院针对基层医疗质量管理制定年度培训计划，重点围绕医疗核心制度、常见病诊疗规范、操作规程、中医适宜技术、药品临床应用指南、院感防控、消毒隔离、危急值处置等，常态化开展全员医疗质量管理制度培训。基层医疗卫生机构要加强医师、药师、护士、医技人员以及乡村医生执业管理，将医疗质量管理制度纳入医务人员日常学习重点，对全体医务人员加强“基础理论、基础知识、基本技能”培训及考核，通过实操练兵、案例教学、定期考核，全面夯实医护人员专业功底，不断提升医务人员业务能力。</w:t>
      </w:r>
    </w:p>
    <w:p w14:paraId="11B45B0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方正楷体_GBK" w:hAnsi="方正楷体_GBK" w:eastAsia="方正楷体_GBK" w:cs="方正楷体_GBK"/>
          <w:sz w:val="32"/>
          <w:szCs w:val="32"/>
          <w:lang w:val="en-US" w:eastAsia="zh-CN"/>
        </w:rPr>
        <w:t>（三）改善门诊医疗质量。</w:t>
      </w:r>
      <w:r>
        <w:rPr>
          <w:rFonts w:hint="eastAsia" w:ascii="仿宋_GB2312" w:hAnsi="仿宋_GB2312" w:eastAsia="仿宋_GB2312" w:cs="仿宋_GB2312"/>
          <w:sz w:val="32"/>
          <w:szCs w:val="32"/>
          <w:lang w:val="en-US" w:eastAsia="zh-CN"/>
        </w:rPr>
        <w:t>医联体牵头医院应制定同质化门诊诊疗规范、首诊负责、分级诊疗、双向转诊、门诊质控、处方点评等工作制度，规范基层机构门诊接诊流程、病历书写、处方开具、检查治疗、输液管理、医患沟通等操作标准，实现医联体内同标同质。基层医疗卫生机构严格落实首诊负责制，优化门诊诊疗流程，加强诊疗服务、门诊输液等医疗质量安全管理。严格按照基层慢性病防治管理指南、常见病多发病临床诊疗指南、临床技术操作规范（含基层中医适宜技术操作规范，下同）、行业标准和临床路径等有关要求开展诊疗工作，做到合理检查、合理用药、合理治疗。严格规范门诊病历书写，提升门诊医疗文书完整度、规范性及内涵质量。开展家庭医生签约服务质量管理，规范为重点人群提供上门评估、随访、健康指导及家庭病床等服务行为，持续提升签约服务规范性与服务质量。</w:t>
      </w:r>
    </w:p>
    <w:p w14:paraId="5D37930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华文楷体" w:hAnsi="华文楷体" w:eastAsia="华文楷体" w:cs="华文楷体"/>
          <w:sz w:val="32"/>
          <w:szCs w:val="32"/>
          <w:lang w:val="en-US" w:eastAsia="zh-CN"/>
        </w:rPr>
        <w:t xml:space="preserve">   </w:t>
      </w:r>
      <w:r>
        <w:rPr>
          <w:rFonts w:hint="eastAsia" w:ascii="方正楷体_GBK" w:hAnsi="方正楷体_GBK" w:eastAsia="方正楷体_GBK" w:cs="方正楷体_GBK"/>
          <w:sz w:val="32"/>
          <w:szCs w:val="32"/>
          <w:lang w:val="en-US" w:eastAsia="zh-CN"/>
        </w:rPr>
        <w:t>（四）提高急诊急救医疗质量。</w:t>
      </w:r>
      <w:r>
        <w:rPr>
          <w:rFonts w:hint="eastAsia" w:ascii="仿宋_GB2312" w:hAnsi="仿宋_GB2312" w:eastAsia="仿宋_GB2312" w:cs="仿宋_GB2312"/>
          <w:sz w:val="32"/>
          <w:szCs w:val="32"/>
          <w:lang w:val="en-US" w:eastAsia="zh-CN"/>
        </w:rPr>
        <w:t>依托紧密型医联体，整合共享医疗卫生资源，构建分级负责、上下联动、应对有序、运转高效的急诊急救体系，提升县（区）域内急危重症医疗救治能力与效率。基层医疗卫生机构标准设置急诊科，规范配置抢救室，完善急诊救治诊疗规范和急救流程，加强心电监护仪、自动体外除颤器急诊急救设施设备和药品配置，提升心脑血管疾病急症、创伤、中毒等常见急危重症的初步诊断和应急处置能力。强化基层医疗机构“胸痛、卒中、创伤”救治单元建设，逐步实现中心乡镇卫生院全覆盖。强化与上级医院的技术支持与转诊衔接，通过与上级医院科室共建、巡回医疗等形式，提升基层医疗机构急诊能力，确保急诊急救服务覆盖全域。</w:t>
      </w:r>
    </w:p>
    <w:p w14:paraId="2A139A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方正楷体_GBK" w:hAnsi="方正楷体_GBK" w:eastAsia="方正楷体_GBK" w:cs="方正楷体_GBK"/>
          <w:sz w:val="32"/>
          <w:szCs w:val="32"/>
          <w:lang w:val="en-US" w:eastAsia="zh-CN"/>
        </w:rPr>
        <w:t>（五）促进规范合理用药。</w:t>
      </w:r>
      <w:r>
        <w:rPr>
          <w:rFonts w:hint="eastAsia" w:ascii="仿宋_GB2312" w:hAnsi="仿宋_GB2312" w:eastAsia="仿宋_GB2312" w:cs="仿宋_GB2312"/>
          <w:sz w:val="32"/>
          <w:szCs w:val="32"/>
          <w:lang w:val="en-US" w:eastAsia="zh-CN"/>
        </w:rPr>
        <w:t>基层医疗卫生机构要设立药事与药物治疗管理组织，严格落实“毒麻精放”等特殊药品、疫苗管理；临床药物治疗遵循合理用药原则、药品说明书、临床诊疗指南及临床路径等相关规定，建立健全抗菌药物临床应用管理工作制度和监督管理机制；规范医师和乡村医生处方行为，按照安全、有效、经济、适宜的合理用药原则开具处方，制定本机构处方审核、调配、点评等制度；保障“一老一小”等重点人群用药安全，规范慢性病患者长期处方开具标准；建立药品不良反应与药害事件监测报告管理制度与程序，制定完善严重药品不良反应或药害事件处理办法和流程。推进县域中心药房和审方中心建设，畅通基层医疗卫生机构与县级医院用药衔接，实现用药目录统一、采购配送统一、基本药物使用比例统一、处方自由流动；发挥医联体药师在处方审核、处方点评等合理用药管理方面的作用，强化合理用药教育与培训，定期核查用药合理性，对不合理用药行为及时进行干预。</w:t>
      </w:r>
    </w:p>
    <w:p w14:paraId="1B3362D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方正楷体_GBK" w:hAnsi="方正楷体_GBK" w:eastAsia="方正楷体_GBK" w:cs="方正楷体_GBK"/>
          <w:sz w:val="32"/>
          <w:szCs w:val="32"/>
          <w:lang w:val="en-US" w:eastAsia="zh-CN"/>
        </w:rPr>
        <w:t>（六）保障检验检查质量。</w:t>
      </w:r>
      <w:r>
        <w:rPr>
          <w:rFonts w:hint="eastAsia" w:ascii="仿宋_GB2312" w:hAnsi="仿宋_GB2312" w:eastAsia="仿宋_GB2312" w:cs="仿宋_GB2312"/>
          <w:sz w:val="32"/>
          <w:szCs w:val="32"/>
          <w:lang w:val="en-US" w:eastAsia="zh-CN"/>
        </w:rPr>
        <w:t>基层医疗卫生机构建立健全覆盖检验、检查全流程的医疗质量管理制度，常态化开展实验室室内质控，参加室间质量评价，定期评估室内质控各项参数及失控率；提升检验和检查报告的完整性与规范性，落实检验和检查结果危急值报告制度，提高报告的及时性、准确性。推进县域医学影像中心和医学检验中心建设，加强对基层检验检查质量管理，实现“基层检查、上级诊断、结果互认”。</w:t>
      </w:r>
    </w:p>
    <w:p w14:paraId="345AA4B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方正楷体_GBK" w:hAnsi="方正楷体_GBK" w:eastAsia="方正楷体_GBK" w:cs="方正楷体_GBK"/>
          <w:sz w:val="32"/>
          <w:szCs w:val="32"/>
          <w:lang w:val="en-US" w:eastAsia="zh-CN"/>
        </w:rPr>
        <w:t>（七）改进护理服务质量。</w:t>
      </w:r>
      <w:r>
        <w:rPr>
          <w:rFonts w:hint="eastAsia" w:ascii="仿宋_GB2312" w:hAnsi="仿宋_GB2312" w:eastAsia="仿宋_GB2312" w:cs="仿宋_GB2312"/>
          <w:sz w:val="32"/>
          <w:szCs w:val="32"/>
          <w:lang w:val="en-US" w:eastAsia="zh-CN"/>
        </w:rPr>
        <w:t xml:space="preserve">基层医疗卫生机构建立院长（或副院长）领导下的护理组织管理体系，落实岗位职责和管理目标，建立并落实各层次护理管理人员考核评价机制。制定符合本机构的分级护理制度，定期开展相关培训和教育。制定并落实临床护理技术操作常见并发症的预防和处理规范，建立重点环节应急管理制度，严格落实分级护理、查对、交接班等核心制度。建立护理不良事件报告制度，持续开展优质护理服务。 </w:t>
      </w:r>
    </w:p>
    <w:p w14:paraId="6EB251E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方正楷体_GBK" w:hAnsi="方正楷体_GBK" w:eastAsia="方正楷体_GBK" w:cs="方正楷体_GBK"/>
          <w:sz w:val="32"/>
          <w:szCs w:val="32"/>
          <w:lang w:val="en-US" w:eastAsia="zh-CN"/>
        </w:rPr>
        <w:t xml:space="preserve"> （八）加强医院感染控制。</w:t>
      </w:r>
      <w:r>
        <w:rPr>
          <w:rFonts w:hint="eastAsia" w:ascii="仿宋_GB2312" w:hAnsi="仿宋_GB2312" w:eastAsia="仿宋_GB2312" w:cs="仿宋_GB2312"/>
          <w:sz w:val="32"/>
          <w:szCs w:val="32"/>
          <w:lang w:val="en-US" w:eastAsia="zh-CN"/>
        </w:rPr>
        <w:t>基层医疗卫生机构要在医联体指导下健全机构感染管理体系，配备专（兼）职人员承担医院感染管理和业务技术咨询、指导工作。制定符合本机构实际的医院感染管理规章制度，包括清洁消毒与灭菌、隔离、手卫生、医源性感染预防与控制措施、医源性感染监测、医源性感染暴发报告制度、一次性使用无菌医疗器械管理、医务人员职业卫生安全防护、医疗废物管理等。加强重点环节、重点人群与高风险因素的管理与监测，每月召开一次专题会，对存在的问题进行分析整改。</w:t>
      </w:r>
    </w:p>
    <w:p w14:paraId="230D230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华文楷体" w:hAnsi="华文楷体" w:eastAsia="华文楷体" w:cs="华文楷体"/>
          <w:sz w:val="32"/>
          <w:szCs w:val="32"/>
          <w:lang w:val="en-US" w:eastAsia="zh-CN"/>
        </w:rPr>
        <w:t xml:space="preserve"> </w:t>
      </w:r>
      <w:r>
        <w:rPr>
          <w:rFonts w:hint="eastAsia" w:ascii="方正楷体_GBK" w:hAnsi="方正楷体_GBK" w:eastAsia="方正楷体_GBK" w:cs="方正楷体_GBK"/>
          <w:sz w:val="32"/>
          <w:szCs w:val="32"/>
          <w:lang w:val="en-US" w:eastAsia="zh-CN"/>
        </w:rPr>
        <w:t>（九）改善住院和手术质量。</w:t>
      </w:r>
      <w:r>
        <w:rPr>
          <w:rFonts w:hint="eastAsia" w:ascii="仿宋_GB2312" w:hAnsi="仿宋_GB2312" w:eastAsia="仿宋_GB2312" w:cs="仿宋_GB2312"/>
          <w:sz w:val="32"/>
          <w:szCs w:val="32"/>
          <w:lang w:val="en-US" w:eastAsia="zh-CN"/>
        </w:rPr>
        <w:t>提供住院和手术服务的基层医疗卫生机构，要建立完善围手术期患者安全管理、手术安全核查与手术风险评估、手术部位识别标识、临床用血审核等相关规范与制度；规范住院诊疗行为，规范住院病历书写与记录，严格落实查房制度，保障查房频次与质量；严格落实手术分级管理制度，加强手术患者术前评估、麻醉评估，落实术前讨论制度，准确把握手术适应证和禁忌证，科学制定手术方案；严格落实手术安全核查制度，强化围手术期管理；强化临床用血规范化管理，完善用血审核、全程追溯、不良反应监测与处置等流程，保障急救用血。医联体牵头医院要经常性开展联合查房，及时掌握患者病情变化，针对性调整诊疗方案，健全完善危重症患者转诊流程。</w:t>
      </w:r>
    </w:p>
    <w:p w14:paraId="1DE577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四、组织管理</w:t>
      </w:r>
    </w:p>
    <w:p w14:paraId="45D936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方正楷体_GBK" w:hAnsi="方正楷体_GBK" w:eastAsia="方正楷体_GBK" w:cs="方正楷体_GBK"/>
          <w:sz w:val="32"/>
          <w:szCs w:val="32"/>
          <w:lang w:val="en-US" w:eastAsia="zh-CN"/>
        </w:rPr>
        <w:t>（一）卫生健康行政部门。</w:t>
      </w:r>
      <w:r>
        <w:rPr>
          <w:rFonts w:hint="eastAsia" w:ascii="仿宋_GB2312" w:hAnsi="仿宋_GB2312" w:eastAsia="仿宋_GB2312" w:cs="仿宋_GB2312"/>
          <w:sz w:val="32"/>
          <w:szCs w:val="32"/>
          <w:lang w:val="en-US" w:eastAsia="zh-CN"/>
        </w:rPr>
        <w:t>省卫生健康委将根据《医疗质量管理办法》《医疗质量安全核心制度要点》《社区医院医疗质量安全核心制度要点（试行）》等文件，研究制定《河南省基层医疗卫生机构医疗质量安全核心制度要点（试行）》。</w:t>
      </w:r>
      <w:r>
        <w:rPr>
          <w:rFonts w:hint="default" w:ascii="仿宋_GB2312" w:hAnsi="仿宋_GB2312" w:eastAsia="仿宋_GB2312" w:cs="仿宋_GB2312"/>
          <w:sz w:val="32"/>
          <w:szCs w:val="32"/>
          <w:lang w:val="en-US" w:eastAsia="zh-CN"/>
        </w:rPr>
        <w:t>各省辖市卫生健康委结合本地实际细化适用于基层医疗卫生机构的医疗质量安全核心制度；按照本方案要求抓好工作推进，指导质控组织开展质控工作，及时总结经验并加强宣传交流。</w:t>
      </w:r>
      <w:r>
        <w:rPr>
          <w:rFonts w:hint="default" w:ascii="仿宋_GB2312" w:hAnsi="仿宋_GB2312" w:eastAsia="仿宋_GB2312" w:cs="仿宋_GB2312"/>
          <w:sz w:val="32"/>
          <w:szCs w:val="32"/>
          <w:highlight w:val="none"/>
          <w:lang w:val="en-US" w:eastAsia="zh-CN"/>
        </w:rPr>
        <w:t>各</w:t>
      </w:r>
      <w:r>
        <w:rPr>
          <w:rFonts w:hint="default" w:ascii="仿宋_GB2312" w:hAnsi="仿宋_GB2312" w:eastAsia="仿宋_GB2312" w:cs="仿宋_GB2312"/>
          <w:sz w:val="32"/>
          <w:szCs w:val="32"/>
          <w:lang w:val="en-US" w:eastAsia="zh-CN"/>
        </w:rPr>
        <w:t>县（市、区）卫生健康委负责指导辖区内医联体（含紧密型县域医共体、城市医疗集团和“区社一体”模式）相关牵头医院及基层医疗卫生机构、质控组织落实相关工作要求和监管责任，推动医疗质量安全水平不断提升。</w:t>
      </w:r>
    </w:p>
    <w:p w14:paraId="3F4B77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方正楷体_GBK" w:hAnsi="方正楷体_GBK" w:eastAsia="方正楷体_GBK" w:cs="方正楷体_GBK"/>
          <w:sz w:val="32"/>
          <w:szCs w:val="32"/>
          <w:lang w:val="en-US" w:eastAsia="zh-CN"/>
        </w:rPr>
        <w:t>（二）各级质控中心。</w:t>
      </w:r>
      <w:r>
        <w:rPr>
          <w:rFonts w:hint="eastAsia" w:ascii="仿宋_GB2312" w:hAnsi="仿宋_GB2312" w:eastAsia="仿宋_GB2312" w:cs="仿宋_GB2312"/>
          <w:sz w:val="32"/>
          <w:szCs w:val="32"/>
          <w:lang w:val="en-US" w:eastAsia="zh-CN"/>
        </w:rPr>
        <w:t>省、市两级依托有条件有能力有意愿的省、市级医院成立本级全科医学、基层慢性病管理、家庭医生签约服务等质量控制中心，统筹辖区各专业质控中心和专家资源分别成立省市级基层医疗质量综合控制中心。省级各质控中心负责研究制订相关质量控制标准，加强对市县级质控中心技术指导。市级负责结合实际细化适用于基层医疗卫生机构的医疗质量改进目标、质控工作改进目标和质控指标，制定医疗质量改进工作计划并组织实施，指导县级抓好质控工作；县级辖区内无对应专业质控组织的，由市级直接负责。县级负责基层医疗卫生机构具体质控工作，指导基层医疗卫生机构不断改进医疗质量。</w:t>
      </w:r>
    </w:p>
    <w:p w14:paraId="455FC9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方正楷体_GBK" w:hAnsi="方正楷体_GBK" w:eastAsia="方正楷体_GBK" w:cs="方正楷体_GBK"/>
          <w:sz w:val="32"/>
          <w:szCs w:val="32"/>
          <w:lang w:val="en-US" w:eastAsia="zh-CN"/>
        </w:rPr>
        <w:t>（三）医疗卫生机构。</w:t>
      </w:r>
      <w:r>
        <w:rPr>
          <w:rFonts w:hint="default" w:ascii="仿宋_GB2312" w:hAnsi="仿宋_GB2312" w:eastAsia="仿宋_GB2312" w:cs="仿宋_GB2312"/>
          <w:sz w:val="32"/>
          <w:szCs w:val="32"/>
          <w:lang w:val="en-US" w:eastAsia="zh-CN"/>
        </w:rPr>
        <w:t>各医联体牵头医院对医联体内</w:t>
      </w:r>
      <w:r>
        <w:rPr>
          <w:rFonts w:hint="eastAsia" w:ascii="仿宋_GB2312" w:hAnsi="仿宋_GB2312" w:eastAsia="仿宋_GB2312" w:cs="仿宋_GB2312"/>
          <w:sz w:val="32"/>
          <w:szCs w:val="32"/>
          <w:lang w:val="en-US" w:eastAsia="zh-CN"/>
        </w:rPr>
        <w:t>基层成员单位</w:t>
      </w:r>
      <w:r>
        <w:rPr>
          <w:rFonts w:hint="default" w:ascii="仿宋_GB2312" w:hAnsi="仿宋_GB2312" w:eastAsia="仿宋_GB2312" w:cs="仿宋_GB2312"/>
          <w:sz w:val="32"/>
          <w:szCs w:val="32"/>
          <w:lang w:val="en-US" w:eastAsia="zh-CN"/>
        </w:rPr>
        <w:t>医疗质量负总责，乡镇卫生院（社区卫生服务中心）主要负责人是第一责任人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“区社一体”牵头医院负总责，社区卫生服务中心主要负责人是第一责任人</w:t>
      </w:r>
      <w:r>
        <w:rPr>
          <w:rFonts w:hint="eastAsia" w:ascii="仿宋_GB2312" w:hAnsi="仿宋_GB2312" w:eastAsia="仿宋_GB2312" w:cs="仿宋_GB2312"/>
          <w:sz w:val="32"/>
          <w:szCs w:val="32"/>
          <w:lang w:val="en-US" w:eastAsia="zh-CN"/>
        </w:rPr>
        <w:t>。牵头（支援）医院和基层医疗卫生机构强化医疗质量管理主体责任，建立健全医疗质量管理制度，</w:t>
      </w:r>
      <w:r>
        <w:rPr>
          <w:rFonts w:hint="default" w:ascii="仿宋_GB2312" w:hAnsi="仿宋_GB2312" w:eastAsia="仿宋_GB2312" w:cs="仿宋_GB2312"/>
          <w:sz w:val="32"/>
          <w:szCs w:val="32"/>
          <w:lang w:val="en-US" w:eastAsia="zh-CN"/>
        </w:rPr>
        <w:t>落实各项具体工作任务，强化人员教育，培育质量安全文化，持续提升医疗质量管理水平。</w:t>
      </w:r>
    </w:p>
    <w:p w14:paraId="14073A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五、组织实施</w:t>
      </w:r>
    </w:p>
    <w:p w14:paraId="0D4FB8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方正楷体_GBK" w:hAnsi="方正楷体_GBK" w:eastAsia="方正楷体_GBK" w:cs="方正楷体_GBK"/>
          <w:sz w:val="32"/>
          <w:szCs w:val="32"/>
          <w:lang w:val="en-US" w:eastAsia="zh-CN"/>
        </w:rPr>
        <w:t>（一）动员部署阶段（2026年</w:t>
      </w:r>
      <w:r>
        <w:rPr>
          <w:rFonts w:hint="eastAsia" w:ascii="方正楷体_GBK" w:hAnsi="方正楷体_GBK" w:eastAsia="方正楷体_GBK" w:cs="方正楷体_GBK"/>
          <w:sz w:val="32"/>
          <w:szCs w:val="32"/>
          <w:lang w:val="en-US" w:eastAsia="zh-CN"/>
        </w:rPr>
        <w:t>6-7月</w:t>
      </w:r>
      <w:r>
        <w:rPr>
          <w:rFonts w:hint="default" w:ascii="方正楷体_GBK" w:hAnsi="方正楷体_GBK" w:eastAsia="方正楷体_GBK" w:cs="方正楷体_GBK"/>
          <w:sz w:val="32"/>
          <w:szCs w:val="32"/>
          <w:lang w:val="en-US" w:eastAsia="zh-CN"/>
        </w:rPr>
        <w:t>）。</w:t>
      </w:r>
      <w:r>
        <w:rPr>
          <w:rFonts w:hint="default" w:ascii="仿宋_GB2312" w:hAnsi="仿宋_GB2312" w:eastAsia="仿宋_GB2312" w:cs="仿宋_GB2312"/>
          <w:sz w:val="32"/>
          <w:szCs w:val="32"/>
          <w:lang w:val="en-US" w:eastAsia="zh-CN"/>
        </w:rPr>
        <w:t>省卫生健康</w:t>
      </w:r>
      <w:r>
        <w:rPr>
          <w:rFonts w:hint="eastAsia" w:ascii="仿宋_GB2312" w:hAnsi="仿宋_GB2312" w:eastAsia="仿宋_GB2312" w:cs="仿宋_GB2312"/>
          <w:sz w:val="32"/>
          <w:szCs w:val="32"/>
          <w:lang w:val="en-US" w:eastAsia="zh-CN"/>
        </w:rPr>
        <w:t>委</w:t>
      </w:r>
      <w:r>
        <w:rPr>
          <w:rFonts w:hint="default" w:ascii="仿宋_GB2312" w:hAnsi="仿宋_GB2312" w:eastAsia="仿宋_GB2312" w:cs="仿宋_GB2312"/>
          <w:sz w:val="32"/>
          <w:szCs w:val="32"/>
          <w:lang w:val="en-US" w:eastAsia="zh-CN"/>
        </w:rPr>
        <w:t>制定实施方案并动员部署辖区内</w:t>
      </w:r>
      <w:r>
        <w:rPr>
          <w:rFonts w:hint="eastAsia" w:ascii="仿宋_GB2312" w:hAnsi="仿宋_GB2312" w:eastAsia="仿宋_GB2312" w:cs="仿宋_GB2312"/>
          <w:sz w:val="32"/>
          <w:szCs w:val="32"/>
          <w:lang w:val="en-US" w:eastAsia="zh-CN"/>
        </w:rPr>
        <w:t>所有基层医疗卫生机构启动实施医疗质量改善行动</w:t>
      </w:r>
      <w:r>
        <w:rPr>
          <w:rFonts w:hint="default" w:ascii="仿宋_GB2312" w:hAnsi="仿宋_GB2312" w:eastAsia="仿宋_GB2312" w:cs="仿宋_GB2312"/>
          <w:sz w:val="32"/>
          <w:szCs w:val="32"/>
          <w:lang w:val="en-US" w:eastAsia="zh-CN"/>
        </w:rPr>
        <w:t>。</w:t>
      </w:r>
    </w:p>
    <w:p w14:paraId="16080E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方正楷体_GBK" w:hAnsi="方正楷体_GBK" w:eastAsia="方正楷体_GBK" w:cs="方正楷体_GBK"/>
          <w:sz w:val="32"/>
          <w:szCs w:val="32"/>
          <w:lang w:val="en-US" w:eastAsia="zh-CN"/>
        </w:rPr>
        <w:t>（二）推进实施阶段（2026年</w:t>
      </w:r>
      <w:r>
        <w:rPr>
          <w:rFonts w:hint="eastAsia" w:ascii="方正楷体_GBK" w:hAnsi="方正楷体_GBK" w:eastAsia="方正楷体_GBK" w:cs="方正楷体_GBK"/>
          <w:sz w:val="32"/>
          <w:szCs w:val="32"/>
          <w:lang w:val="en-US" w:eastAsia="zh-CN"/>
        </w:rPr>
        <w:t>8</w:t>
      </w:r>
      <w:r>
        <w:rPr>
          <w:rFonts w:hint="default" w:ascii="方正楷体_GBK" w:hAnsi="方正楷体_GBK" w:eastAsia="方正楷体_GBK" w:cs="方正楷体_GBK"/>
          <w:sz w:val="32"/>
          <w:szCs w:val="32"/>
          <w:lang w:val="en-US" w:eastAsia="zh-CN"/>
        </w:rPr>
        <w:t>月—2028年10月）。</w:t>
      </w:r>
      <w:r>
        <w:rPr>
          <w:rFonts w:hint="eastAsia" w:ascii="仿宋_GB2312" w:hAnsi="仿宋_GB2312" w:eastAsia="仿宋_GB2312" w:cs="仿宋_GB2312"/>
          <w:sz w:val="32"/>
          <w:szCs w:val="32"/>
          <w:lang w:val="en-US" w:eastAsia="zh-CN"/>
        </w:rPr>
        <w:t>各市、县级</w:t>
      </w:r>
      <w:r>
        <w:rPr>
          <w:rFonts w:hint="default" w:ascii="仿宋_GB2312" w:hAnsi="仿宋_GB2312" w:eastAsia="仿宋_GB2312" w:cs="仿宋_GB2312"/>
          <w:sz w:val="32"/>
          <w:szCs w:val="32"/>
          <w:lang w:val="en-US" w:eastAsia="zh-CN"/>
        </w:rPr>
        <w:t>卫生健康行政部门按年度作出具体安排和总结，充分发挥医联体牵头医院作用，定期开展基层医疗卫生机构医疗质量改善情况核查，及时提炼并推广有效经验、做法。</w:t>
      </w:r>
    </w:p>
    <w:p w14:paraId="6E46F7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自查整改（每年1</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3月）：基层医疗卫生机构对照工作任务和自查整改表（见附件）全面自查，梳理问题清单，明确改进措施，限期整改到位。</w:t>
      </w:r>
    </w:p>
    <w:p w14:paraId="2C9D97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提质推进（每年4</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10月）：基层医疗卫生机构持续开展医疗质量管理工作。各级卫生健康行政部门加强对基层医疗卫生机构的指导，及时掌握有关机构自查自纠问题和整改情况，对共性问题加强研究，提出系统性解决方案。2026年自查整改与提质推进阶段并行推进。</w:t>
      </w:r>
    </w:p>
    <w:p w14:paraId="686670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年度评估（每年11</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12月）：各级卫生健康行政部门总结年度工作情况，不断推进制度、体系、机制建设，强化常态化基层医疗卫生机构医疗质量监管。</w:t>
      </w:r>
    </w:p>
    <w:p w14:paraId="71B6C4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方正楷体_GBK" w:hAnsi="方正楷体_GBK" w:eastAsia="方正楷体_GBK" w:cs="方正楷体_GBK"/>
          <w:sz w:val="32"/>
          <w:szCs w:val="32"/>
          <w:lang w:val="en-US" w:eastAsia="zh-CN"/>
        </w:rPr>
        <w:t>（三）总结巩固阶段（2028年10</w:t>
      </w:r>
      <w:r>
        <w:rPr>
          <w:rFonts w:hint="eastAsia" w:ascii="方正楷体_GBK" w:hAnsi="方正楷体_GBK" w:eastAsia="方正楷体_GBK" w:cs="方正楷体_GBK"/>
          <w:sz w:val="32"/>
          <w:szCs w:val="32"/>
          <w:lang w:val="en-US" w:eastAsia="zh-CN"/>
        </w:rPr>
        <w:t>-</w:t>
      </w:r>
      <w:r>
        <w:rPr>
          <w:rFonts w:hint="default" w:ascii="方正楷体_GBK" w:hAnsi="方正楷体_GBK" w:eastAsia="方正楷体_GBK" w:cs="方正楷体_GBK"/>
          <w:sz w:val="32"/>
          <w:szCs w:val="32"/>
          <w:lang w:val="en-US" w:eastAsia="zh-CN"/>
        </w:rPr>
        <w:t>12月）。</w:t>
      </w:r>
      <w:r>
        <w:rPr>
          <w:rFonts w:hint="default" w:ascii="仿宋_GB2312" w:hAnsi="仿宋_GB2312" w:eastAsia="仿宋_GB2312" w:cs="仿宋_GB2312"/>
          <w:sz w:val="32"/>
          <w:szCs w:val="32"/>
          <w:lang w:val="en-US" w:eastAsia="zh-CN"/>
        </w:rPr>
        <w:t>总结三年行动成效，凝练可复制、可推广的典型做法和经验，推动建立基层医疗卫生机构医疗质量管理和持续改善长效机制。</w:t>
      </w:r>
    </w:p>
    <w:p w14:paraId="55A93F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六、工作要求</w:t>
      </w:r>
    </w:p>
    <w:p w14:paraId="18F4AD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方正楷体_GBK" w:hAnsi="方正楷体_GBK" w:eastAsia="方正楷体_GBK" w:cs="方正楷体_GBK"/>
          <w:sz w:val="32"/>
          <w:szCs w:val="32"/>
          <w:lang w:val="en-US" w:eastAsia="zh-CN"/>
        </w:rPr>
        <w:t>（一）加强组织领导。</w:t>
      </w:r>
      <w:r>
        <w:rPr>
          <w:rFonts w:hint="eastAsia" w:ascii="仿宋_GB2312" w:hAnsi="仿宋_GB2312" w:eastAsia="仿宋_GB2312" w:cs="仿宋_GB2312"/>
          <w:sz w:val="32"/>
          <w:szCs w:val="32"/>
          <w:lang w:val="en-US" w:eastAsia="zh-CN"/>
        </w:rPr>
        <w:t>基层医疗卫生机构医疗质量直接关系广大群众的生命健康权益与切身利益，是保障人民健康的基础性环节。各地要</w:t>
      </w:r>
      <w:r>
        <w:rPr>
          <w:rFonts w:hint="default" w:ascii="仿宋_GB2312" w:hAnsi="仿宋_GB2312" w:eastAsia="仿宋_GB2312" w:cs="仿宋_GB2312"/>
          <w:sz w:val="32"/>
          <w:szCs w:val="32"/>
          <w:lang w:val="en-US" w:eastAsia="zh-CN"/>
        </w:rPr>
        <w:t>将基层医疗卫生机构医疗质量改善作为作为提升基层服务能力、改善群众就医体验的重要举措，</w:t>
      </w:r>
      <w:r>
        <w:rPr>
          <w:rFonts w:hint="eastAsia" w:ascii="仿宋_GB2312" w:hAnsi="仿宋_GB2312" w:eastAsia="仿宋_GB2312" w:cs="仿宋_GB2312"/>
          <w:sz w:val="32"/>
          <w:szCs w:val="32"/>
          <w:lang w:val="en-US" w:eastAsia="zh-CN"/>
        </w:rPr>
        <w:t>明确任务，压实责任，确保各项要求落实到位。</w:t>
      </w:r>
    </w:p>
    <w:p w14:paraId="0BCDAC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方正楷体_GBK" w:hAnsi="方正楷体_GBK" w:eastAsia="方正楷体_GBK" w:cs="方正楷体_GBK"/>
          <w:sz w:val="32"/>
          <w:szCs w:val="32"/>
          <w:lang w:val="en-US" w:eastAsia="zh-CN"/>
        </w:rPr>
        <w:t>（二）强化统筹协调。</w:t>
      </w:r>
      <w:r>
        <w:rPr>
          <w:rFonts w:hint="eastAsia" w:ascii="仿宋_GB2312" w:hAnsi="仿宋_GB2312" w:eastAsia="仿宋_GB2312" w:cs="仿宋_GB2312"/>
          <w:sz w:val="32"/>
          <w:szCs w:val="32"/>
          <w:lang w:val="en-US" w:eastAsia="zh-CN"/>
        </w:rPr>
        <w:t>各地要将医疗质量改善行动与基层医疗卫生机构巡查、“优质服务基层行”活动、紧密型医联体建设、中医药服务能力提升等工作协同推进。加强智慧县域医共体、基层医疗卫生机构智慧化建设，推动人工智能赋能基层。质控中心要充分利用信息化手段开展基层医疗卫生机构医疗质量控制工作，促进基层医疗卫生机构医疗质量持续改善和管理水平持续提升。</w:t>
      </w:r>
    </w:p>
    <w:p w14:paraId="5B15F9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方正楷体_GBK" w:hAnsi="方正楷体_GBK" w:eastAsia="方正楷体_GBK" w:cs="方正楷体_GBK"/>
          <w:sz w:val="32"/>
          <w:szCs w:val="32"/>
          <w:lang w:val="en-US" w:eastAsia="zh-CN"/>
        </w:rPr>
        <w:t>（三）建立长效机制。</w:t>
      </w:r>
      <w:r>
        <w:rPr>
          <w:rFonts w:hint="eastAsia" w:ascii="仿宋_GB2312" w:hAnsi="仿宋_GB2312" w:eastAsia="仿宋_GB2312" w:cs="仿宋_GB2312"/>
          <w:sz w:val="32"/>
          <w:szCs w:val="32"/>
          <w:lang w:val="en-US" w:eastAsia="zh-CN"/>
        </w:rPr>
        <w:t>各地要巩固基层医疗卫生机构医务人员质量安全意识和“以患者为中心”服务理念，进一步提升行业社会认可度，完善政府监管、行业自律、机构自治、社会监督的医疗质量安全管理多元良性共治长效机制。加强宣传引导，发挥好正面引导促进作用，引导群众常见病、多发病首选基层医疗卫生机构。</w:t>
      </w:r>
    </w:p>
    <w:p w14:paraId="015E9B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14:paraId="24123532">
      <w:pPr>
        <w:keepNext w:val="0"/>
        <w:keepLines w:val="0"/>
        <w:pageBreakBefore w:val="0"/>
        <w:widowControl/>
        <w:kinsoku w:val="0"/>
        <w:wordWrap/>
        <w:overflowPunct/>
        <w:topLinePunct w:val="0"/>
        <w:autoSpaceDE w:val="0"/>
        <w:autoSpaceDN w:val="0"/>
        <w:bidi w:val="0"/>
        <w:adjustRightInd w:val="0"/>
        <w:snapToGrid w:val="0"/>
        <w:spacing w:before="162" w:line="560" w:lineRule="exact"/>
        <w:ind w:left="142"/>
        <w:jc w:val="left"/>
        <w:textAlignment w:val="baseline"/>
        <w:rPr>
          <w:rFonts w:ascii="黑体" w:hAnsi="黑体" w:eastAsia="黑体" w:cs="黑体"/>
          <w:snapToGrid w:val="0"/>
          <w:color w:val="000000"/>
          <w:spacing w:val="-6"/>
          <w:kern w:val="0"/>
          <w:sz w:val="32"/>
          <w:szCs w:val="32"/>
          <w:lang w:eastAsia="en-US"/>
        </w:rPr>
      </w:pPr>
    </w:p>
    <w:p w14:paraId="48B08DA0">
      <w:pPr>
        <w:keepNext w:val="0"/>
        <w:keepLines w:val="0"/>
        <w:pageBreakBefore w:val="0"/>
        <w:widowControl/>
        <w:kinsoku w:val="0"/>
        <w:wordWrap/>
        <w:overflowPunct/>
        <w:topLinePunct w:val="0"/>
        <w:autoSpaceDE w:val="0"/>
        <w:autoSpaceDN w:val="0"/>
        <w:bidi w:val="0"/>
        <w:adjustRightInd w:val="0"/>
        <w:snapToGrid w:val="0"/>
        <w:spacing w:before="162" w:line="560" w:lineRule="exact"/>
        <w:ind w:left="142"/>
        <w:jc w:val="left"/>
        <w:textAlignment w:val="baseline"/>
        <w:rPr>
          <w:rFonts w:ascii="黑体" w:hAnsi="黑体" w:eastAsia="黑体" w:cs="黑体"/>
          <w:snapToGrid w:val="0"/>
          <w:color w:val="000000"/>
          <w:spacing w:val="-6"/>
          <w:kern w:val="0"/>
          <w:sz w:val="32"/>
          <w:szCs w:val="32"/>
          <w:lang w:eastAsia="en-US"/>
        </w:rPr>
      </w:pPr>
    </w:p>
    <w:p w14:paraId="53EEF679">
      <w:pPr>
        <w:keepNext w:val="0"/>
        <w:keepLines w:val="0"/>
        <w:pageBreakBefore w:val="0"/>
        <w:widowControl/>
        <w:kinsoku w:val="0"/>
        <w:wordWrap/>
        <w:overflowPunct/>
        <w:topLinePunct w:val="0"/>
        <w:autoSpaceDE w:val="0"/>
        <w:autoSpaceDN w:val="0"/>
        <w:bidi w:val="0"/>
        <w:adjustRightInd w:val="0"/>
        <w:snapToGrid w:val="0"/>
        <w:spacing w:before="162" w:line="560" w:lineRule="exact"/>
        <w:ind w:left="142"/>
        <w:jc w:val="left"/>
        <w:textAlignment w:val="baseline"/>
        <w:rPr>
          <w:rFonts w:ascii="黑体" w:hAnsi="黑体" w:eastAsia="黑体" w:cs="黑体"/>
          <w:snapToGrid w:val="0"/>
          <w:color w:val="000000"/>
          <w:spacing w:val="-6"/>
          <w:kern w:val="0"/>
          <w:sz w:val="32"/>
          <w:szCs w:val="32"/>
          <w:lang w:eastAsia="en-US"/>
        </w:rPr>
      </w:pPr>
    </w:p>
    <w:p w14:paraId="5A907E08">
      <w:pPr>
        <w:keepNext w:val="0"/>
        <w:keepLines w:val="0"/>
        <w:pageBreakBefore w:val="0"/>
        <w:widowControl/>
        <w:kinsoku w:val="0"/>
        <w:wordWrap/>
        <w:overflowPunct/>
        <w:topLinePunct w:val="0"/>
        <w:autoSpaceDE w:val="0"/>
        <w:autoSpaceDN w:val="0"/>
        <w:bidi w:val="0"/>
        <w:adjustRightInd w:val="0"/>
        <w:snapToGrid w:val="0"/>
        <w:spacing w:before="162" w:line="560" w:lineRule="exact"/>
        <w:ind w:left="142"/>
        <w:jc w:val="left"/>
        <w:textAlignment w:val="baseline"/>
        <w:rPr>
          <w:rFonts w:ascii="黑体" w:hAnsi="黑体" w:eastAsia="黑体" w:cs="黑体"/>
          <w:snapToGrid w:val="0"/>
          <w:color w:val="000000"/>
          <w:spacing w:val="-6"/>
          <w:kern w:val="0"/>
          <w:sz w:val="32"/>
          <w:szCs w:val="32"/>
          <w:lang w:eastAsia="en-US"/>
        </w:rPr>
      </w:pPr>
    </w:p>
    <w:p w14:paraId="31BF7DD1">
      <w:pPr>
        <w:keepNext w:val="0"/>
        <w:keepLines w:val="0"/>
        <w:pageBreakBefore w:val="0"/>
        <w:widowControl/>
        <w:kinsoku w:val="0"/>
        <w:wordWrap/>
        <w:overflowPunct/>
        <w:topLinePunct w:val="0"/>
        <w:autoSpaceDE w:val="0"/>
        <w:autoSpaceDN w:val="0"/>
        <w:bidi w:val="0"/>
        <w:adjustRightInd w:val="0"/>
        <w:snapToGrid w:val="0"/>
        <w:spacing w:before="162" w:line="560" w:lineRule="exact"/>
        <w:ind w:left="142"/>
        <w:jc w:val="left"/>
        <w:textAlignment w:val="baseline"/>
        <w:rPr>
          <w:rFonts w:ascii="黑体" w:hAnsi="黑体" w:eastAsia="黑体" w:cs="黑体"/>
          <w:snapToGrid w:val="0"/>
          <w:color w:val="000000"/>
          <w:spacing w:val="-6"/>
          <w:kern w:val="0"/>
          <w:sz w:val="32"/>
          <w:szCs w:val="32"/>
          <w:lang w:eastAsia="en-US"/>
        </w:rPr>
      </w:pPr>
    </w:p>
    <w:p w14:paraId="291482C3">
      <w:pPr>
        <w:widowControl/>
        <w:kinsoku w:val="0"/>
        <w:autoSpaceDE w:val="0"/>
        <w:autoSpaceDN w:val="0"/>
        <w:adjustRightInd w:val="0"/>
        <w:snapToGrid w:val="0"/>
        <w:spacing w:before="162" w:line="230" w:lineRule="auto"/>
        <w:jc w:val="left"/>
        <w:textAlignment w:val="baseline"/>
        <w:rPr>
          <w:rFonts w:ascii="黑体" w:hAnsi="黑体" w:eastAsia="黑体" w:cs="黑体"/>
          <w:snapToGrid w:val="0"/>
          <w:color w:val="000000"/>
          <w:spacing w:val="-6"/>
          <w:kern w:val="0"/>
          <w:sz w:val="31"/>
          <w:szCs w:val="31"/>
          <w:lang w:eastAsia="en-US"/>
        </w:rPr>
      </w:pPr>
    </w:p>
    <w:p w14:paraId="0974DC50">
      <w:pPr>
        <w:widowControl/>
        <w:kinsoku w:val="0"/>
        <w:autoSpaceDE w:val="0"/>
        <w:autoSpaceDN w:val="0"/>
        <w:adjustRightInd w:val="0"/>
        <w:snapToGrid w:val="0"/>
        <w:spacing w:before="162" w:line="230" w:lineRule="auto"/>
        <w:jc w:val="left"/>
        <w:textAlignment w:val="baseline"/>
        <w:rPr>
          <w:rFonts w:ascii="黑体" w:hAnsi="黑体" w:eastAsia="黑体" w:cs="黑体"/>
          <w:snapToGrid w:val="0"/>
          <w:color w:val="000000"/>
          <w:spacing w:val="-6"/>
          <w:kern w:val="0"/>
          <w:sz w:val="31"/>
          <w:szCs w:val="31"/>
          <w:lang w:eastAsia="en-US"/>
        </w:rPr>
      </w:pPr>
    </w:p>
    <w:p w14:paraId="010DA557">
      <w:pPr>
        <w:widowControl/>
        <w:kinsoku w:val="0"/>
        <w:autoSpaceDE w:val="0"/>
        <w:autoSpaceDN w:val="0"/>
        <w:adjustRightInd w:val="0"/>
        <w:snapToGrid w:val="0"/>
        <w:spacing w:before="162" w:line="230" w:lineRule="auto"/>
        <w:ind w:left="142"/>
        <w:jc w:val="left"/>
        <w:textAlignment w:val="baseline"/>
        <w:rPr>
          <w:rFonts w:ascii="黑体" w:hAnsi="黑体" w:eastAsia="黑体" w:cs="黑体"/>
          <w:snapToGrid w:val="0"/>
          <w:color w:val="000000"/>
          <w:kern w:val="0"/>
          <w:sz w:val="31"/>
          <w:szCs w:val="31"/>
          <w:lang w:eastAsia="en-US"/>
        </w:rPr>
      </w:pPr>
      <w:r>
        <w:rPr>
          <w:rFonts w:ascii="黑体" w:hAnsi="黑体" w:eastAsia="黑体" w:cs="黑体"/>
          <w:snapToGrid w:val="0"/>
          <w:color w:val="000000"/>
          <w:spacing w:val="-6"/>
          <w:kern w:val="0"/>
          <w:sz w:val="31"/>
          <w:szCs w:val="31"/>
          <w:lang w:eastAsia="en-US"/>
        </w:rPr>
        <w:t>附件</w:t>
      </w:r>
    </w:p>
    <w:p w14:paraId="27549E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国标小标宋" w:hAnsi="国标小标宋" w:eastAsia="国标小标宋" w:cs="国标小标宋"/>
          <w:sz w:val="44"/>
          <w:szCs w:val="44"/>
          <w:lang w:eastAsia="en-US"/>
        </w:rPr>
      </w:pPr>
    </w:p>
    <w:p w14:paraId="2EF947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国标小标宋" w:hAnsi="国标小标宋" w:eastAsia="国标小标宋" w:cs="国标小标宋"/>
          <w:sz w:val="44"/>
          <w:szCs w:val="44"/>
          <w:lang w:eastAsia="en-US"/>
        </w:rPr>
      </w:pPr>
      <w:r>
        <w:rPr>
          <w:rFonts w:hint="eastAsia" w:ascii="国标小标宋" w:hAnsi="国标小标宋" w:eastAsia="国标小标宋" w:cs="国标小标宋"/>
          <w:sz w:val="44"/>
          <w:szCs w:val="44"/>
          <w:lang w:eastAsia="en-US"/>
        </w:rPr>
        <w:t>基层医疗卫生机构医疗质量改善</w:t>
      </w:r>
    </w:p>
    <w:p w14:paraId="5EFCBF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国标小标宋" w:hAnsi="国标小标宋" w:eastAsia="国标小标宋" w:cs="国标小标宋"/>
          <w:sz w:val="44"/>
          <w:szCs w:val="44"/>
          <w:lang w:eastAsia="en-US"/>
        </w:rPr>
      </w:pPr>
      <w:r>
        <w:rPr>
          <w:rFonts w:hint="eastAsia" w:ascii="国标小标宋" w:hAnsi="国标小标宋" w:eastAsia="国标小标宋" w:cs="国标小标宋"/>
          <w:sz w:val="44"/>
          <w:szCs w:val="44"/>
          <w:lang w:eastAsia="en-US"/>
        </w:rPr>
        <w:t>三年行动（2026-2028年）自查整改表</w:t>
      </w:r>
    </w:p>
    <w:tbl>
      <w:tblPr>
        <w:tblStyle w:val="4"/>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0"/>
        <w:gridCol w:w="5758"/>
        <w:gridCol w:w="1165"/>
        <w:gridCol w:w="1063"/>
      </w:tblGrid>
      <w:tr w14:paraId="1DCE6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540" w:type="dxa"/>
            <w:noWrap w:val="0"/>
            <w:vAlign w:val="top"/>
          </w:tcPr>
          <w:p w14:paraId="4FE6388B">
            <w:pPr>
              <w:widowControl/>
              <w:kinsoku w:val="0"/>
              <w:autoSpaceDE w:val="0"/>
              <w:autoSpaceDN w:val="0"/>
              <w:adjustRightInd w:val="0"/>
              <w:snapToGrid w:val="0"/>
              <w:spacing w:before="27" w:line="214" w:lineRule="auto"/>
              <w:ind w:left="120"/>
              <w:jc w:val="left"/>
              <w:textAlignment w:val="baseline"/>
              <w:rPr>
                <w:rFonts w:ascii="黑体" w:hAnsi="黑体" w:eastAsia="黑体" w:cs="黑体"/>
                <w:snapToGrid w:val="0"/>
                <w:color w:val="000000"/>
                <w:kern w:val="0"/>
                <w:sz w:val="31"/>
                <w:szCs w:val="31"/>
                <w:lang w:eastAsia="en-US"/>
              </w:rPr>
            </w:pPr>
            <w:r>
              <w:rPr>
                <w:rFonts w:ascii="黑体" w:hAnsi="黑体" w:eastAsia="黑体" w:cs="黑体"/>
                <w:snapToGrid w:val="0"/>
                <w:color w:val="000000"/>
                <w:kern w:val="0"/>
                <w:sz w:val="31"/>
                <w:szCs w:val="31"/>
                <w:lang w:eastAsia="en-US"/>
              </w:rPr>
              <w:t>序</w:t>
            </w:r>
          </w:p>
          <w:p w14:paraId="4218566F">
            <w:pPr>
              <w:widowControl/>
              <w:kinsoku w:val="0"/>
              <w:autoSpaceDE w:val="0"/>
              <w:autoSpaceDN w:val="0"/>
              <w:adjustRightInd w:val="0"/>
              <w:snapToGrid w:val="0"/>
              <w:spacing w:before="1" w:line="197" w:lineRule="auto"/>
              <w:ind w:left="126"/>
              <w:jc w:val="left"/>
              <w:textAlignment w:val="baseline"/>
              <w:rPr>
                <w:rFonts w:ascii="黑体" w:hAnsi="黑体" w:eastAsia="黑体" w:cs="黑体"/>
                <w:snapToGrid w:val="0"/>
                <w:color w:val="000000"/>
                <w:kern w:val="0"/>
                <w:sz w:val="31"/>
                <w:szCs w:val="31"/>
                <w:lang w:eastAsia="en-US"/>
              </w:rPr>
            </w:pPr>
            <w:r>
              <w:rPr>
                <w:rFonts w:ascii="黑体" w:hAnsi="黑体" w:eastAsia="黑体" w:cs="黑体"/>
                <w:snapToGrid w:val="0"/>
                <w:color w:val="000000"/>
                <w:kern w:val="0"/>
                <w:sz w:val="31"/>
                <w:szCs w:val="31"/>
                <w:lang w:eastAsia="en-US"/>
              </w:rPr>
              <w:t>号</w:t>
            </w:r>
          </w:p>
        </w:tc>
        <w:tc>
          <w:tcPr>
            <w:tcW w:w="5758" w:type="dxa"/>
            <w:noWrap w:val="0"/>
            <w:vAlign w:val="top"/>
          </w:tcPr>
          <w:p w14:paraId="44D9361C">
            <w:pPr>
              <w:widowControl/>
              <w:kinsoku w:val="0"/>
              <w:autoSpaceDE w:val="0"/>
              <w:autoSpaceDN w:val="0"/>
              <w:adjustRightInd w:val="0"/>
              <w:snapToGrid w:val="0"/>
              <w:spacing w:before="206" w:line="227" w:lineRule="auto"/>
              <w:ind w:left="2250"/>
              <w:jc w:val="left"/>
              <w:textAlignment w:val="baseline"/>
              <w:rPr>
                <w:rFonts w:ascii="黑体" w:hAnsi="黑体" w:eastAsia="黑体" w:cs="黑体"/>
                <w:snapToGrid w:val="0"/>
                <w:color w:val="000000"/>
                <w:kern w:val="0"/>
                <w:sz w:val="31"/>
                <w:szCs w:val="31"/>
                <w:lang w:eastAsia="en-US"/>
              </w:rPr>
            </w:pPr>
            <w:r>
              <w:rPr>
                <w:rFonts w:ascii="黑体" w:hAnsi="黑体" w:eastAsia="黑体" w:cs="黑体"/>
                <w:snapToGrid w:val="0"/>
                <w:color w:val="000000"/>
                <w:spacing w:val="6"/>
                <w:kern w:val="0"/>
                <w:sz w:val="31"/>
                <w:szCs w:val="31"/>
                <w:lang w:eastAsia="en-US"/>
              </w:rPr>
              <w:t>工作内容</w:t>
            </w:r>
          </w:p>
        </w:tc>
        <w:tc>
          <w:tcPr>
            <w:tcW w:w="1165" w:type="dxa"/>
            <w:noWrap w:val="0"/>
            <w:vAlign w:val="top"/>
          </w:tcPr>
          <w:p w14:paraId="5C450108">
            <w:pPr>
              <w:widowControl/>
              <w:kinsoku w:val="0"/>
              <w:autoSpaceDE w:val="0"/>
              <w:autoSpaceDN w:val="0"/>
              <w:adjustRightInd w:val="0"/>
              <w:snapToGrid w:val="0"/>
              <w:spacing w:before="27" w:line="214" w:lineRule="auto"/>
              <w:ind w:left="313"/>
              <w:jc w:val="left"/>
              <w:textAlignment w:val="baseline"/>
              <w:rPr>
                <w:rFonts w:ascii="黑体" w:hAnsi="黑体" w:eastAsia="黑体" w:cs="黑体"/>
                <w:snapToGrid w:val="0"/>
                <w:color w:val="000000"/>
                <w:kern w:val="0"/>
                <w:sz w:val="31"/>
                <w:szCs w:val="31"/>
                <w:lang w:eastAsia="en-US"/>
              </w:rPr>
            </w:pPr>
            <w:r>
              <w:rPr>
                <w:rFonts w:ascii="黑体" w:hAnsi="黑体" w:eastAsia="黑体" w:cs="黑体"/>
                <w:snapToGrid w:val="0"/>
                <w:color w:val="000000"/>
                <w:spacing w:val="-18"/>
                <w:kern w:val="0"/>
                <w:sz w:val="31"/>
                <w:szCs w:val="31"/>
                <w:lang w:eastAsia="en-US"/>
              </w:rPr>
              <w:t>自查</w:t>
            </w:r>
          </w:p>
          <w:p w14:paraId="49B9FA57">
            <w:pPr>
              <w:widowControl/>
              <w:kinsoku w:val="0"/>
              <w:autoSpaceDE w:val="0"/>
              <w:autoSpaceDN w:val="0"/>
              <w:adjustRightInd w:val="0"/>
              <w:snapToGrid w:val="0"/>
              <w:spacing w:before="1" w:line="197" w:lineRule="auto"/>
              <w:ind w:left="273"/>
              <w:jc w:val="left"/>
              <w:textAlignment w:val="baseline"/>
              <w:rPr>
                <w:rFonts w:ascii="黑体" w:hAnsi="黑体" w:eastAsia="黑体" w:cs="黑体"/>
                <w:snapToGrid w:val="0"/>
                <w:color w:val="000000"/>
                <w:kern w:val="0"/>
                <w:sz w:val="31"/>
                <w:szCs w:val="31"/>
                <w:lang w:eastAsia="en-US"/>
              </w:rPr>
            </w:pPr>
            <w:r>
              <w:rPr>
                <w:rFonts w:ascii="黑体" w:hAnsi="黑体" w:eastAsia="黑体" w:cs="黑体"/>
                <w:snapToGrid w:val="0"/>
                <w:color w:val="000000"/>
                <w:spacing w:val="2"/>
                <w:kern w:val="0"/>
                <w:sz w:val="31"/>
                <w:szCs w:val="31"/>
                <w:lang w:eastAsia="en-US"/>
              </w:rPr>
              <w:t>情况</w:t>
            </w:r>
          </w:p>
        </w:tc>
        <w:tc>
          <w:tcPr>
            <w:tcW w:w="1063" w:type="dxa"/>
            <w:noWrap w:val="0"/>
            <w:vAlign w:val="top"/>
          </w:tcPr>
          <w:p w14:paraId="2990DB21">
            <w:pPr>
              <w:widowControl/>
              <w:kinsoku w:val="0"/>
              <w:autoSpaceDE w:val="0"/>
              <w:autoSpaceDN w:val="0"/>
              <w:adjustRightInd w:val="0"/>
              <w:snapToGrid w:val="0"/>
              <w:spacing w:before="27" w:line="214" w:lineRule="auto"/>
              <w:ind w:left="219"/>
              <w:jc w:val="left"/>
              <w:textAlignment w:val="baseline"/>
              <w:rPr>
                <w:rFonts w:ascii="黑体" w:hAnsi="黑体" w:eastAsia="黑体" w:cs="黑体"/>
                <w:snapToGrid w:val="0"/>
                <w:color w:val="000000"/>
                <w:kern w:val="0"/>
                <w:sz w:val="31"/>
                <w:szCs w:val="31"/>
                <w:lang w:eastAsia="en-US"/>
              </w:rPr>
            </w:pPr>
            <w:r>
              <w:rPr>
                <w:rFonts w:ascii="黑体" w:hAnsi="黑体" w:eastAsia="黑体" w:cs="黑体"/>
                <w:snapToGrid w:val="0"/>
                <w:color w:val="000000"/>
                <w:spacing w:val="4"/>
                <w:kern w:val="0"/>
                <w:sz w:val="31"/>
                <w:szCs w:val="31"/>
                <w:lang w:eastAsia="en-US"/>
              </w:rPr>
              <w:t>整改</w:t>
            </w:r>
          </w:p>
          <w:p w14:paraId="018129B0">
            <w:pPr>
              <w:widowControl/>
              <w:kinsoku w:val="0"/>
              <w:autoSpaceDE w:val="0"/>
              <w:autoSpaceDN w:val="0"/>
              <w:adjustRightInd w:val="0"/>
              <w:snapToGrid w:val="0"/>
              <w:spacing w:before="1" w:line="197" w:lineRule="auto"/>
              <w:ind w:left="219"/>
              <w:jc w:val="left"/>
              <w:textAlignment w:val="baseline"/>
              <w:rPr>
                <w:rFonts w:ascii="黑体" w:hAnsi="黑体" w:eastAsia="黑体" w:cs="黑体"/>
                <w:snapToGrid w:val="0"/>
                <w:color w:val="000000"/>
                <w:kern w:val="0"/>
                <w:sz w:val="31"/>
                <w:szCs w:val="31"/>
                <w:lang w:eastAsia="en-US"/>
              </w:rPr>
            </w:pPr>
            <w:r>
              <w:rPr>
                <w:rFonts w:ascii="黑体" w:hAnsi="黑体" w:eastAsia="黑体" w:cs="黑体"/>
                <w:snapToGrid w:val="0"/>
                <w:color w:val="000000"/>
                <w:spacing w:val="4"/>
                <w:kern w:val="0"/>
                <w:sz w:val="31"/>
                <w:szCs w:val="31"/>
                <w:lang w:eastAsia="en-US"/>
              </w:rPr>
              <w:t>措施</w:t>
            </w:r>
          </w:p>
        </w:tc>
      </w:tr>
      <w:tr w14:paraId="26D68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526" w:type="dxa"/>
            <w:gridSpan w:val="4"/>
            <w:noWrap w:val="0"/>
            <w:vAlign w:val="top"/>
          </w:tcPr>
          <w:p w14:paraId="00EA32C6">
            <w:pPr>
              <w:widowControl/>
              <w:kinsoku w:val="0"/>
              <w:autoSpaceDE w:val="0"/>
              <w:autoSpaceDN w:val="0"/>
              <w:adjustRightInd w:val="0"/>
              <w:snapToGrid w:val="0"/>
              <w:spacing w:before="140" w:line="220" w:lineRule="auto"/>
              <w:ind w:left="124"/>
              <w:jc w:val="left"/>
              <w:textAlignment w:val="baseline"/>
              <w:outlineLvl w:val="0"/>
              <w:rPr>
                <w:rFonts w:ascii="楷体" w:hAnsi="楷体" w:eastAsia="楷体" w:cs="楷体"/>
                <w:snapToGrid w:val="0"/>
                <w:color w:val="000000"/>
                <w:kern w:val="0"/>
                <w:sz w:val="31"/>
                <w:szCs w:val="31"/>
                <w:lang w:eastAsia="en-US"/>
              </w:rPr>
            </w:pPr>
            <w:r>
              <w:rPr>
                <w:rFonts w:ascii="楷体" w:hAnsi="楷体" w:eastAsia="楷体" w:cs="楷体"/>
                <w:b/>
                <w:bCs/>
                <w:snapToGrid w:val="0"/>
                <w:color w:val="000000"/>
                <w:spacing w:val="6"/>
                <w:kern w:val="0"/>
                <w:sz w:val="31"/>
                <w:szCs w:val="31"/>
                <w:lang w:eastAsia="en-US"/>
              </w:rPr>
              <w:t>一、完善医疗质量管理制度</w:t>
            </w:r>
          </w:p>
        </w:tc>
      </w:tr>
      <w:tr w14:paraId="43096C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540" w:type="dxa"/>
            <w:noWrap w:val="0"/>
            <w:vAlign w:val="top"/>
          </w:tcPr>
          <w:p w14:paraId="36D5B4E7">
            <w:pPr>
              <w:pStyle w:val="5"/>
              <w:widowControl/>
              <w:spacing w:line="272" w:lineRule="auto"/>
            </w:pPr>
          </w:p>
          <w:p w14:paraId="5E3A47C2">
            <w:pPr>
              <w:pStyle w:val="5"/>
              <w:widowControl/>
              <w:spacing w:line="272" w:lineRule="auto"/>
            </w:pPr>
          </w:p>
          <w:p w14:paraId="0F8DF50D">
            <w:pPr>
              <w:widowControl/>
              <w:kinsoku w:val="0"/>
              <w:autoSpaceDE w:val="0"/>
              <w:autoSpaceDN w:val="0"/>
              <w:adjustRightInd w:val="0"/>
              <w:snapToGrid w:val="0"/>
              <w:spacing w:before="81" w:line="189" w:lineRule="auto"/>
              <w:ind w:left="229"/>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kern w:val="0"/>
                <w:sz w:val="28"/>
                <w:szCs w:val="28"/>
                <w:lang w:eastAsia="en-US"/>
              </w:rPr>
              <w:t>1</w:t>
            </w:r>
          </w:p>
        </w:tc>
        <w:tc>
          <w:tcPr>
            <w:tcW w:w="5758" w:type="dxa"/>
            <w:noWrap w:val="0"/>
            <w:vAlign w:val="top"/>
          </w:tcPr>
          <w:p w14:paraId="60EFDD65">
            <w:pPr>
              <w:widowControl/>
              <w:kinsoku w:val="0"/>
              <w:autoSpaceDE w:val="0"/>
              <w:autoSpaceDN w:val="0"/>
              <w:adjustRightInd w:val="0"/>
              <w:snapToGrid w:val="0"/>
              <w:spacing w:before="38" w:line="230" w:lineRule="auto"/>
              <w:ind w:left="113" w:right="103" w:firstLine="3"/>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在医联体内成立由牵头医院、基层医疗卫生机构主要负责人负责的医疗质量管理工作组织，</w:t>
            </w:r>
            <w:r>
              <w:rPr>
                <w:rFonts w:ascii="仿宋" w:hAnsi="仿宋" w:eastAsia="仿宋" w:cs="仿宋"/>
                <w:snapToGrid w:val="0"/>
                <w:color w:val="000000"/>
                <w:spacing w:val="11"/>
                <w:kern w:val="0"/>
                <w:sz w:val="28"/>
                <w:szCs w:val="28"/>
                <w:lang w:eastAsia="en-US"/>
              </w:rPr>
              <w:t>指定专门部门或者专门人员具体负责医疗质</w:t>
            </w:r>
            <w:r>
              <w:rPr>
                <w:rFonts w:ascii="仿宋" w:hAnsi="仿宋" w:eastAsia="仿宋" w:cs="仿宋"/>
                <w:snapToGrid w:val="0"/>
                <w:color w:val="000000"/>
                <w:spacing w:val="-2"/>
                <w:kern w:val="0"/>
                <w:sz w:val="28"/>
                <w:szCs w:val="28"/>
                <w:lang w:eastAsia="en-US"/>
              </w:rPr>
              <w:t>量日常管理工作。</w:t>
            </w:r>
          </w:p>
        </w:tc>
        <w:tc>
          <w:tcPr>
            <w:tcW w:w="1165" w:type="dxa"/>
            <w:noWrap w:val="0"/>
            <w:vAlign w:val="top"/>
          </w:tcPr>
          <w:p w14:paraId="23AF18EF">
            <w:pPr>
              <w:pStyle w:val="5"/>
              <w:widowControl/>
            </w:pPr>
          </w:p>
        </w:tc>
        <w:tc>
          <w:tcPr>
            <w:tcW w:w="1063" w:type="dxa"/>
            <w:noWrap w:val="0"/>
            <w:vAlign w:val="top"/>
          </w:tcPr>
          <w:p w14:paraId="6382AC2F">
            <w:pPr>
              <w:pStyle w:val="5"/>
              <w:widowControl/>
            </w:pPr>
          </w:p>
        </w:tc>
      </w:tr>
      <w:tr w14:paraId="1B618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40" w:type="dxa"/>
            <w:noWrap w:val="0"/>
            <w:vAlign w:val="top"/>
          </w:tcPr>
          <w:p w14:paraId="76BA7C39">
            <w:pPr>
              <w:widowControl/>
              <w:kinsoku w:val="0"/>
              <w:autoSpaceDE w:val="0"/>
              <w:autoSpaceDN w:val="0"/>
              <w:adjustRightInd w:val="0"/>
              <w:snapToGrid w:val="0"/>
              <w:spacing w:before="269" w:line="189" w:lineRule="auto"/>
              <w:ind w:left="202"/>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kern w:val="0"/>
                <w:sz w:val="28"/>
                <w:szCs w:val="28"/>
                <w:lang w:eastAsia="en-US"/>
              </w:rPr>
              <w:t>2</w:t>
            </w:r>
          </w:p>
        </w:tc>
        <w:tc>
          <w:tcPr>
            <w:tcW w:w="5758" w:type="dxa"/>
            <w:noWrap w:val="0"/>
            <w:vAlign w:val="top"/>
          </w:tcPr>
          <w:p w14:paraId="24F9B8D0">
            <w:pPr>
              <w:widowControl/>
              <w:kinsoku w:val="0"/>
              <w:autoSpaceDE w:val="0"/>
              <w:autoSpaceDN w:val="0"/>
              <w:adjustRightInd w:val="0"/>
              <w:snapToGrid w:val="0"/>
              <w:spacing w:before="44" w:line="221" w:lineRule="auto"/>
              <w:ind w:left="113" w:right="103" w:firstLine="32"/>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9"/>
                <w:kern w:val="0"/>
                <w:sz w:val="28"/>
                <w:szCs w:val="28"/>
                <w:lang w:eastAsia="en-US"/>
              </w:rPr>
              <w:t>医疗质量管理工作组织指导基层医疗卫生机</w:t>
            </w:r>
            <w:r>
              <w:rPr>
                <w:rFonts w:ascii="仿宋" w:hAnsi="仿宋" w:eastAsia="仿宋" w:cs="仿宋"/>
                <w:snapToGrid w:val="0"/>
                <w:color w:val="000000"/>
                <w:spacing w:val="-1"/>
                <w:kern w:val="0"/>
                <w:sz w:val="28"/>
                <w:szCs w:val="28"/>
                <w:lang w:eastAsia="en-US"/>
              </w:rPr>
              <w:t>构建立健全本机构各项医疗质量管理制度。</w:t>
            </w:r>
          </w:p>
        </w:tc>
        <w:tc>
          <w:tcPr>
            <w:tcW w:w="1165" w:type="dxa"/>
            <w:noWrap w:val="0"/>
            <w:vAlign w:val="top"/>
          </w:tcPr>
          <w:p w14:paraId="629BB01D">
            <w:pPr>
              <w:pStyle w:val="5"/>
              <w:widowControl/>
            </w:pPr>
          </w:p>
        </w:tc>
        <w:tc>
          <w:tcPr>
            <w:tcW w:w="1063" w:type="dxa"/>
            <w:noWrap w:val="0"/>
            <w:vAlign w:val="top"/>
          </w:tcPr>
          <w:p w14:paraId="019DAC62">
            <w:pPr>
              <w:pStyle w:val="5"/>
              <w:widowControl/>
            </w:pPr>
          </w:p>
        </w:tc>
      </w:tr>
      <w:tr w14:paraId="472F58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40" w:type="dxa"/>
            <w:noWrap w:val="0"/>
            <w:vAlign w:val="top"/>
          </w:tcPr>
          <w:p w14:paraId="297BFF98">
            <w:pPr>
              <w:widowControl/>
              <w:kinsoku w:val="0"/>
              <w:autoSpaceDE w:val="0"/>
              <w:autoSpaceDN w:val="0"/>
              <w:adjustRightInd w:val="0"/>
              <w:snapToGrid w:val="0"/>
              <w:spacing w:before="268" w:line="189" w:lineRule="auto"/>
              <w:ind w:left="208"/>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kern w:val="0"/>
                <w:sz w:val="28"/>
                <w:szCs w:val="28"/>
                <w:lang w:eastAsia="en-US"/>
              </w:rPr>
              <w:t>3</w:t>
            </w:r>
          </w:p>
        </w:tc>
        <w:tc>
          <w:tcPr>
            <w:tcW w:w="5758" w:type="dxa"/>
            <w:noWrap w:val="0"/>
            <w:vAlign w:val="top"/>
          </w:tcPr>
          <w:p w14:paraId="36E69829">
            <w:pPr>
              <w:widowControl/>
              <w:kinsoku w:val="0"/>
              <w:autoSpaceDE w:val="0"/>
              <w:autoSpaceDN w:val="0"/>
              <w:adjustRightInd w:val="0"/>
              <w:snapToGrid w:val="0"/>
              <w:spacing w:before="44" w:line="221" w:lineRule="auto"/>
              <w:ind w:left="114" w:right="103" w:hanging="5"/>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1"/>
                <w:kern w:val="0"/>
                <w:sz w:val="28"/>
                <w:szCs w:val="28"/>
                <w:lang w:eastAsia="en-US"/>
              </w:rPr>
              <w:t>基层医疗卫生机构主要负责人定期召开医疗</w:t>
            </w:r>
            <w:r>
              <w:rPr>
                <w:rFonts w:ascii="仿宋" w:hAnsi="仿宋" w:eastAsia="仿宋" w:cs="仿宋"/>
                <w:snapToGrid w:val="0"/>
                <w:color w:val="000000"/>
                <w:spacing w:val="-4"/>
                <w:kern w:val="0"/>
                <w:sz w:val="28"/>
                <w:szCs w:val="28"/>
                <w:lang w:eastAsia="en-US"/>
              </w:rPr>
              <w:t>质量管理专题会议，研究部署医疗质量工作。</w:t>
            </w:r>
          </w:p>
        </w:tc>
        <w:tc>
          <w:tcPr>
            <w:tcW w:w="1165" w:type="dxa"/>
            <w:noWrap w:val="0"/>
            <w:vAlign w:val="top"/>
          </w:tcPr>
          <w:p w14:paraId="174E3024">
            <w:pPr>
              <w:pStyle w:val="5"/>
              <w:widowControl/>
            </w:pPr>
          </w:p>
        </w:tc>
        <w:tc>
          <w:tcPr>
            <w:tcW w:w="1063" w:type="dxa"/>
            <w:noWrap w:val="0"/>
            <w:vAlign w:val="top"/>
          </w:tcPr>
          <w:p w14:paraId="5DB51A61">
            <w:pPr>
              <w:pStyle w:val="5"/>
              <w:widowControl/>
            </w:pPr>
          </w:p>
        </w:tc>
      </w:tr>
      <w:tr w14:paraId="7DF8AC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540" w:type="dxa"/>
            <w:noWrap w:val="0"/>
            <w:vAlign w:val="top"/>
          </w:tcPr>
          <w:p w14:paraId="4C778D43">
            <w:pPr>
              <w:widowControl/>
              <w:kinsoku w:val="0"/>
              <w:autoSpaceDE w:val="0"/>
              <w:autoSpaceDN w:val="0"/>
              <w:adjustRightInd w:val="0"/>
              <w:snapToGrid w:val="0"/>
              <w:spacing w:before="208" w:line="189" w:lineRule="auto"/>
              <w:ind w:left="201"/>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kern w:val="0"/>
                <w:sz w:val="28"/>
                <w:szCs w:val="28"/>
                <w:lang w:eastAsia="en-US"/>
              </w:rPr>
              <w:t>4</w:t>
            </w:r>
          </w:p>
        </w:tc>
        <w:tc>
          <w:tcPr>
            <w:tcW w:w="5758" w:type="dxa"/>
            <w:noWrap w:val="0"/>
            <w:vAlign w:val="top"/>
          </w:tcPr>
          <w:p w14:paraId="56CE662B">
            <w:pPr>
              <w:widowControl/>
              <w:kinsoku w:val="0"/>
              <w:autoSpaceDE w:val="0"/>
              <w:autoSpaceDN w:val="0"/>
              <w:adjustRightInd w:val="0"/>
              <w:snapToGrid w:val="0"/>
              <w:spacing w:before="161" w:line="217" w:lineRule="auto"/>
              <w:ind w:left="111"/>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
                <w:kern w:val="0"/>
                <w:sz w:val="28"/>
                <w:szCs w:val="28"/>
                <w:lang w:eastAsia="en-US"/>
              </w:rPr>
              <w:t>建立医疗质量反馈和改进制度。</w:t>
            </w:r>
          </w:p>
        </w:tc>
        <w:tc>
          <w:tcPr>
            <w:tcW w:w="1165" w:type="dxa"/>
            <w:noWrap w:val="0"/>
            <w:vAlign w:val="top"/>
          </w:tcPr>
          <w:p w14:paraId="07963403">
            <w:pPr>
              <w:pStyle w:val="5"/>
              <w:widowControl/>
            </w:pPr>
          </w:p>
        </w:tc>
        <w:tc>
          <w:tcPr>
            <w:tcW w:w="1063" w:type="dxa"/>
            <w:noWrap w:val="0"/>
            <w:vAlign w:val="top"/>
          </w:tcPr>
          <w:p w14:paraId="29EADD56">
            <w:pPr>
              <w:pStyle w:val="5"/>
              <w:widowControl/>
            </w:pPr>
          </w:p>
        </w:tc>
      </w:tr>
      <w:tr w14:paraId="46D2D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526" w:type="dxa"/>
            <w:gridSpan w:val="4"/>
            <w:noWrap w:val="0"/>
            <w:vAlign w:val="top"/>
          </w:tcPr>
          <w:p w14:paraId="17B25063">
            <w:pPr>
              <w:widowControl/>
              <w:kinsoku w:val="0"/>
              <w:autoSpaceDE w:val="0"/>
              <w:autoSpaceDN w:val="0"/>
              <w:adjustRightInd w:val="0"/>
              <w:snapToGrid w:val="0"/>
              <w:spacing w:before="149" w:line="220" w:lineRule="auto"/>
              <w:ind w:left="117"/>
              <w:jc w:val="left"/>
              <w:textAlignment w:val="baseline"/>
              <w:rPr>
                <w:rFonts w:ascii="楷体" w:hAnsi="楷体" w:eastAsia="楷体" w:cs="楷体"/>
                <w:snapToGrid w:val="0"/>
                <w:color w:val="000000"/>
                <w:kern w:val="0"/>
                <w:sz w:val="31"/>
                <w:szCs w:val="31"/>
                <w:lang w:eastAsia="en-US"/>
              </w:rPr>
            </w:pPr>
            <w:r>
              <w:rPr>
                <w:rFonts w:ascii="楷体" w:hAnsi="楷体" w:eastAsia="楷体" w:cs="楷体"/>
                <w:b/>
                <w:bCs/>
                <w:snapToGrid w:val="0"/>
                <w:color w:val="000000"/>
                <w:spacing w:val="6"/>
                <w:kern w:val="0"/>
                <w:sz w:val="31"/>
                <w:szCs w:val="31"/>
                <w:lang w:eastAsia="en-US"/>
              </w:rPr>
              <w:t>二、开展医务人员培训</w:t>
            </w:r>
          </w:p>
        </w:tc>
      </w:tr>
      <w:tr w14:paraId="477E3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540" w:type="dxa"/>
            <w:noWrap w:val="0"/>
            <w:vAlign w:val="top"/>
          </w:tcPr>
          <w:p w14:paraId="43F3A372">
            <w:pPr>
              <w:pStyle w:val="5"/>
              <w:widowControl/>
              <w:spacing w:line="370" w:lineRule="auto"/>
            </w:pPr>
          </w:p>
          <w:p w14:paraId="39E16647">
            <w:pPr>
              <w:widowControl/>
              <w:kinsoku w:val="0"/>
              <w:autoSpaceDE w:val="0"/>
              <w:autoSpaceDN w:val="0"/>
              <w:adjustRightInd w:val="0"/>
              <w:snapToGrid w:val="0"/>
              <w:spacing w:before="81" w:line="186" w:lineRule="auto"/>
              <w:ind w:left="121"/>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kern w:val="0"/>
                <w:sz w:val="28"/>
                <w:szCs w:val="28"/>
                <w:lang w:eastAsia="en-US"/>
              </w:rPr>
              <w:t>5</w:t>
            </w:r>
          </w:p>
        </w:tc>
        <w:tc>
          <w:tcPr>
            <w:tcW w:w="5758" w:type="dxa"/>
            <w:noWrap w:val="0"/>
            <w:vAlign w:val="top"/>
          </w:tcPr>
          <w:p w14:paraId="2EE9AE01">
            <w:pPr>
              <w:widowControl/>
              <w:kinsoku w:val="0"/>
              <w:autoSpaceDE w:val="0"/>
              <w:autoSpaceDN w:val="0"/>
              <w:adjustRightInd w:val="0"/>
              <w:snapToGrid w:val="0"/>
              <w:spacing w:before="45" w:line="226" w:lineRule="auto"/>
              <w:ind w:left="115" w:right="103"/>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按照国家有关规定加强医师、药师、护士、医技人员以及乡村医生执业管理，开展全员医疗</w:t>
            </w:r>
            <w:r>
              <w:rPr>
                <w:rFonts w:ascii="仿宋" w:hAnsi="仿宋" w:eastAsia="仿宋" w:cs="仿宋"/>
                <w:snapToGrid w:val="0"/>
                <w:color w:val="000000"/>
                <w:spacing w:val="-2"/>
                <w:kern w:val="0"/>
                <w:sz w:val="28"/>
                <w:szCs w:val="28"/>
                <w:lang w:eastAsia="en-US"/>
              </w:rPr>
              <w:t>质量管理制度培训。</w:t>
            </w:r>
          </w:p>
        </w:tc>
        <w:tc>
          <w:tcPr>
            <w:tcW w:w="1165" w:type="dxa"/>
            <w:noWrap w:val="0"/>
            <w:vAlign w:val="top"/>
          </w:tcPr>
          <w:p w14:paraId="278B128B">
            <w:pPr>
              <w:pStyle w:val="5"/>
              <w:widowControl/>
            </w:pPr>
          </w:p>
        </w:tc>
        <w:tc>
          <w:tcPr>
            <w:tcW w:w="1063" w:type="dxa"/>
            <w:noWrap w:val="0"/>
            <w:vAlign w:val="top"/>
          </w:tcPr>
          <w:p w14:paraId="634482EE">
            <w:pPr>
              <w:pStyle w:val="5"/>
              <w:widowControl/>
            </w:pPr>
          </w:p>
        </w:tc>
      </w:tr>
      <w:tr w14:paraId="6DA46F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40" w:type="dxa"/>
            <w:noWrap w:val="0"/>
            <w:vAlign w:val="top"/>
          </w:tcPr>
          <w:p w14:paraId="74C16573">
            <w:pPr>
              <w:widowControl/>
              <w:kinsoku w:val="0"/>
              <w:autoSpaceDE w:val="0"/>
              <w:autoSpaceDN w:val="0"/>
              <w:adjustRightInd w:val="0"/>
              <w:snapToGrid w:val="0"/>
              <w:spacing w:before="270" w:line="189" w:lineRule="auto"/>
              <w:ind w:left="119"/>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kern w:val="0"/>
                <w:sz w:val="28"/>
                <w:szCs w:val="28"/>
                <w:lang w:eastAsia="en-US"/>
              </w:rPr>
              <w:t>6</w:t>
            </w:r>
          </w:p>
        </w:tc>
        <w:tc>
          <w:tcPr>
            <w:tcW w:w="5758" w:type="dxa"/>
            <w:noWrap w:val="0"/>
            <w:vAlign w:val="top"/>
          </w:tcPr>
          <w:p w14:paraId="329A57CD">
            <w:pPr>
              <w:widowControl/>
              <w:kinsoku w:val="0"/>
              <w:autoSpaceDE w:val="0"/>
              <w:autoSpaceDN w:val="0"/>
              <w:adjustRightInd w:val="0"/>
              <w:snapToGrid w:val="0"/>
              <w:spacing w:before="44" w:line="221" w:lineRule="auto"/>
              <w:ind w:left="113" w:right="103" w:firstLine="5"/>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对全体医务人员加强基本理论、基本知识、基</w:t>
            </w:r>
            <w:r>
              <w:rPr>
                <w:rFonts w:ascii="仿宋" w:hAnsi="仿宋" w:eastAsia="仿宋" w:cs="仿宋"/>
                <w:snapToGrid w:val="0"/>
                <w:color w:val="000000"/>
                <w:spacing w:val="-2"/>
                <w:kern w:val="0"/>
                <w:sz w:val="28"/>
                <w:szCs w:val="28"/>
                <w:lang w:eastAsia="en-US"/>
              </w:rPr>
              <w:t>本技能培训及考核。</w:t>
            </w:r>
          </w:p>
        </w:tc>
        <w:tc>
          <w:tcPr>
            <w:tcW w:w="1165" w:type="dxa"/>
            <w:noWrap w:val="0"/>
            <w:vAlign w:val="top"/>
          </w:tcPr>
          <w:p w14:paraId="09C2A79B">
            <w:pPr>
              <w:pStyle w:val="5"/>
              <w:widowControl/>
            </w:pPr>
          </w:p>
        </w:tc>
        <w:tc>
          <w:tcPr>
            <w:tcW w:w="1063" w:type="dxa"/>
            <w:noWrap w:val="0"/>
            <w:vAlign w:val="top"/>
          </w:tcPr>
          <w:p w14:paraId="033D0C79">
            <w:pPr>
              <w:pStyle w:val="5"/>
              <w:widowControl/>
            </w:pPr>
          </w:p>
        </w:tc>
      </w:tr>
      <w:tr w14:paraId="3A2AD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526" w:type="dxa"/>
            <w:gridSpan w:val="4"/>
            <w:noWrap w:val="0"/>
            <w:vAlign w:val="top"/>
          </w:tcPr>
          <w:p w14:paraId="2A7963A9">
            <w:pPr>
              <w:widowControl/>
              <w:kinsoku w:val="0"/>
              <w:autoSpaceDE w:val="0"/>
              <w:autoSpaceDN w:val="0"/>
              <w:adjustRightInd w:val="0"/>
              <w:snapToGrid w:val="0"/>
              <w:spacing w:before="142" w:line="222" w:lineRule="auto"/>
              <w:ind w:left="121"/>
              <w:jc w:val="left"/>
              <w:textAlignment w:val="baseline"/>
              <w:outlineLvl w:val="0"/>
              <w:rPr>
                <w:rFonts w:ascii="楷体" w:hAnsi="楷体" w:eastAsia="楷体" w:cs="楷体"/>
                <w:snapToGrid w:val="0"/>
                <w:color w:val="000000"/>
                <w:kern w:val="0"/>
                <w:sz w:val="31"/>
                <w:szCs w:val="31"/>
                <w:lang w:eastAsia="en-US"/>
              </w:rPr>
            </w:pPr>
            <w:r>
              <w:rPr>
                <w:rFonts w:ascii="楷体" w:hAnsi="楷体" w:eastAsia="楷体" w:cs="楷体"/>
                <w:b/>
                <w:bCs/>
                <w:snapToGrid w:val="0"/>
                <w:color w:val="000000"/>
                <w:spacing w:val="6"/>
                <w:kern w:val="0"/>
                <w:sz w:val="31"/>
                <w:szCs w:val="31"/>
                <w:lang w:eastAsia="en-US"/>
              </w:rPr>
              <w:t>三、改善门诊医疗质量</w:t>
            </w:r>
          </w:p>
        </w:tc>
      </w:tr>
      <w:tr w14:paraId="74CAF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540" w:type="dxa"/>
            <w:noWrap w:val="0"/>
            <w:vAlign w:val="top"/>
          </w:tcPr>
          <w:p w14:paraId="00E3A266">
            <w:pPr>
              <w:pStyle w:val="5"/>
              <w:widowControl/>
              <w:spacing w:line="325" w:lineRule="auto"/>
            </w:pPr>
          </w:p>
          <w:p w14:paraId="67D3101E">
            <w:pPr>
              <w:widowControl/>
              <w:kinsoku w:val="0"/>
              <w:autoSpaceDE w:val="0"/>
              <w:autoSpaceDN w:val="0"/>
              <w:adjustRightInd w:val="0"/>
              <w:snapToGrid w:val="0"/>
              <w:spacing w:before="80" w:line="186" w:lineRule="auto"/>
              <w:ind w:left="118"/>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kern w:val="0"/>
                <w:sz w:val="28"/>
                <w:szCs w:val="28"/>
                <w:lang w:eastAsia="en-US"/>
              </w:rPr>
              <w:t>7</w:t>
            </w:r>
          </w:p>
        </w:tc>
        <w:tc>
          <w:tcPr>
            <w:tcW w:w="5758" w:type="dxa"/>
            <w:noWrap w:val="0"/>
            <w:vAlign w:val="top"/>
          </w:tcPr>
          <w:p w14:paraId="7BDC2863">
            <w:pPr>
              <w:widowControl/>
              <w:kinsoku w:val="0"/>
              <w:autoSpaceDE w:val="0"/>
              <w:autoSpaceDN w:val="0"/>
              <w:adjustRightInd w:val="0"/>
              <w:snapToGrid w:val="0"/>
              <w:spacing w:before="176" w:line="237" w:lineRule="auto"/>
              <w:ind w:left="128" w:right="100" w:hanging="8"/>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执行首诊负责制，明确首诊医师接诊、诊断、</w:t>
            </w:r>
            <w:r>
              <w:rPr>
                <w:rFonts w:ascii="仿宋" w:hAnsi="仿宋" w:eastAsia="仿宋" w:cs="仿宋"/>
                <w:snapToGrid w:val="0"/>
                <w:color w:val="000000"/>
                <w:spacing w:val="-3"/>
                <w:kern w:val="0"/>
                <w:sz w:val="28"/>
                <w:szCs w:val="28"/>
                <w:lang w:eastAsia="en-US"/>
              </w:rPr>
              <w:t>治疗、转诊全流程职责。</w:t>
            </w:r>
          </w:p>
        </w:tc>
        <w:tc>
          <w:tcPr>
            <w:tcW w:w="1165" w:type="dxa"/>
            <w:noWrap w:val="0"/>
            <w:vAlign w:val="top"/>
          </w:tcPr>
          <w:p w14:paraId="10FC0F5C">
            <w:pPr>
              <w:pStyle w:val="5"/>
              <w:widowControl/>
            </w:pPr>
          </w:p>
        </w:tc>
        <w:tc>
          <w:tcPr>
            <w:tcW w:w="1063" w:type="dxa"/>
            <w:noWrap w:val="0"/>
            <w:vAlign w:val="top"/>
          </w:tcPr>
          <w:p w14:paraId="6A662775">
            <w:pPr>
              <w:pStyle w:val="5"/>
              <w:widowControl/>
            </w:pPr>
          </w:p>
        </w:tc>
      </w:tr>
      <w:tr w14:paraId="1E5DFC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540" w:type="dxa"/>
            <w:noWrap w:val="0"/>
            <w:vAlign w:val="top"/>
          </w:tcPr>
          <w:p w14:paraId="403137ED">
            <w:pPr>
              <w:pStyle w:val="5"/>
              <w:widowControl/>
              <w:spacing w:line="274" w:lineRule="auto"/>
            </w:pPr>
          </w:p>
          <w:p w14:paraId="72DB34ED">
            <w:pPr>
              <w:pStyle w:val="5"/>
              <w:widowControl/>
              <w:spacing w:line="274" w:lineRule="auto"/>
            </w:pPr>
          </w:p>
          <w:p w14:paraId="03A284A2">
            <w:pPr>
              <w:widowControl/>
              <w:kinsoku w:val="0"/>
              <w:autoSpaceDE w:val="0"/>
              <w:autoSpaceDN w:val="0"/>
              <w:adjustRightInd w:val="0"/>
              <w:snapToGrid w:val="0"/>
              <w:spacing w:before="81" w:line="189" w:lineRule="auto"/>
              <w:ind w:left="124"/>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kern w:val="0"/>
                <w:sz w:val="28"/>
                <w:szCs w:val="28"/>
                <w:lang w:eastAsia="en-US"/>
              </w:rPr>
              <w:t>8</w:t>
            </w:r>
          </w:p>
        </w:tc>
        <w:tc>
          <w:tcPr>
            <w:tcW w:w="5758" w:type="dxa"/>
            <w:noWrap w:val="0"/>
            <w:vAlign w:val="top"/>
          </w:tcPr>
          <w:p w14:paraId="5863B66D">
            <w:pPr>
              <w:widowControl/>
              <w:kinsoku w:val="0"/>
              <w:autoSpaceDE w:val="0"/>
              <w:autoSpaceDN w:val="0"/>
              <w:adjustRightInd w:val="0"/>
              <w:snapToGrid w:val="0"/>
              <w:spacing w:before="44" w:line="229" w:lineRule="auto"/>
              <w:ind w:left="113" w:right="100"/>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加强门诊专业力量配备，优化门诊诊疗流程，</w:t>
            </w:r>
            <w:r>
              <w:rPr>
                <w:rFonts w:ascii="仿宋" w:hAnsi="仿宋" w:eastAsia="仿宋" w:cs="仿宋"/>
                <w:snapToGrid w:val="0"/>
                <w:color w:val="000000"/>
                <w:spacing w:val="-1"/>
                <w:kern w:val="0"/>
                <w:sz w:val="28"/>
                <w:szCs w:val="28"/>
                <w:lang w:eastAsia="en-US"/>
              </w:rPr>
              <w:t>加强诊疗服务、门诊输液等医疗质量安全管</w:t>
            </w:r>
            <w:r>
              <w:rPr>
                <w:rFonts w:ascii="仿宋" w:hAnsi="仿宋" w:eastAsia="仿宋" w:cs="仿宋"/>
                <w:snapToGrid w:val="0"/>
                <w:color w:val="000000"/>
                <w:spacing w:val="-4"/>
                <w:kern w:val="0"/>
                <w:sz w:val="28"/>
                <w:szCs w:val="28"/>
                <w:lang w:eastAsia="en-US"/>
              </w:rPr>
              <w:t>理，重点规范输液指征审核、操作规范执行、</w:t>
            </w:r>
            <w:r>
              <w:rPr>
                <w:rFonts w:ascii="仿宋" w:hAnsi="仿宋" w:eastAsia="仿宋" w:cs="仿宋"/>
                <w:snapToGrid w:val="0"/>
                <w:color w:val="000000"/>
                <w:spacing w:val="-2"/>
                <w:kern w:val="0"/>
                <w:sz w:val="28"/>
                <w:szCs w:val="28"/>
                <w:lang w:eastAsia="en-US"/>
              </w:rPr>
              <w:t>不良反应处置等工作。</w:t>
            </w:r>
          </w:p>
        </w:tc>
        <w:tc>
          <w:tcPr>
            <w:tcW w:w="1165" w:type="dxa"/>
            <w:noWrap w:val="0"/>
            <w:vAlign w:val="top"/>
          </w:tcPr>
          <w:p w14:paraId="234946EA">
            <w:pPr>
              <w:pStyle w:val="5"/>
              <w:widowControl/>
            </w:pPr>
          </w:p>
        </w:tc>
        <w:tc>
          <w:tcPr>
            <w:tcW w:w="1063" w:type="dxa"/>
            <w:noWrap w:val="0"/>
            <w:vAlign w:val="top"/>
          </w:tcPr>
          <w:p w14:paraId="34284229">
            <w:pPr>
              <w:pStyle w:val="5"/>
              <w:widowControl/>
            </w:pPr>
          </w:p>
        </w:tc>
      </w:tr>
      <w:tr w14:paraId="3FCC7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7" w:hRule="atLeast"/>
        </w:trPr>
        <w:tc>
          <w:tcPr>
            <w:tcW w:w="540" w:type="dxa"/>
            <w:noWrap w:val="0"/>
            <w:vAlign w:val="top"/>
          </w:tcPr>
          <w:p w14:paraId="2FE7B848">
            <w:pPr>
              <w:pStyle w:val="5"/>
              <w:widowControl/>
              <w:spacing w:line="274" w:lineRule="auto"/>
            </w:pPr>
          </w:p>
          <w:p w14:paraId="432BA141">
            <w:pPr>
              <w:pStyle w:val="5"/>
              <w:widowControl/>
              <w:spacing w:line="275" w:lineRule="auto"/>
            </w:pPr>
          </w:p>
          <w:p w14:paraId="1C0337D5">
            <w:pPr>
              <w:widowControl/>
              <w:kinsoku w:val="0"/>
              <w:autoSpaceDE w:val="0"/>
              <w:autoSpaceDN w:val="0"/>
              <w:adjustRightInd w:val="0"/>
              <w:snapToGrid w:val="0"/>
              <w:spacing w:before="80" w:line="189" w:lineRule="auto"/>
              <w:ind w:left="119"/>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kern w:val="0"/>
                <w:sz w:val="28"/>
                <w:szCs w:val="28"/>
                <w:lang w:eastAsia="en-US"/>
              </w:rPr>
              <w:t>9</w:t>
            </w:r>
          </w:p>
        </w:tc>
        <w:tc>
          <w:tcPr>
            <w:tcW w:w="5758" w:type="dxa"/>
            <w:noWrap w:val="0"/>
            <w:vAlign w:val="top"/>
          </w:tcPr>
          <w:p w14:paraId="1DC9B316">
            <w:pPr>
              <w:widowControl/>
              <w:kinsoku w:val="0"/>
              <w:autoSpaceDE w:val="0"/>
              <w:autoSpaceDN w:val="0"/>
              <w:adjustRightInd w:val="0"/>
              <w:snapToGrid w:val="0"/>
              <w:spacing w:before="47" w:line="229" w:lineRule="auto"/>
              <w:ind w:left="113" w:right="103" w:hanging="5"/>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严格按照基层慢性病防治管理指南、常见病多</w:t>
            </w:r>
            <w:r>
              <w:rPr>
                <w:rFonts w:ascii="仿宋" w:hAnsi="仿宋" w:eastAsia="仿宋" w:cs="仿宋"/>
                <w:snapToGrid w:val="0"/>
                <w:color w:val="000000"/>
                <w:spacing w:val="-4"/>
                <w:kern w:val="0"/>
                <w:sz w:val="28"/>
                <w:szCs w:val="28"/>
                <w:lang w:eastAsia="en-US"/>
              </w:rPr>
              <w:t>发病临床诊疗指南、临床技术操作规范（含基层中医适宜技术操作规范，下同）、行业标准</w:t>
            </w:r>
            <w:r>
              <w:rPr>
                <w:rFonts w:ascii="仿宋" w:hAnsi="仿宋" w:eastAsia="仿宋" w:cs="仿宋"/>
                <w:snapToGrid w:val="0"/>
                <w:color w:val="000000"/>
                <w:spacing w:val="-1"/>
                <w:kern w:val="0"/>
                <w:sz w:val="28"/>
                <w:szCs w:val="28"/>
                <w:lang w:eastAsia="en-US"/>
              </w:rPr>
              <w:t>和临床路径等有关要求开展诊疗工作。</w:t>
            </w:r>
          </w:p>
        </w:tc>
        <w:tc>
          <w:tcPr>
            <w:tcW w:w="1165" w:type="dxa"/>
            <w:noWrap w:val="0"/>
            <w:vAlign w:val="top"/>
          </w:tcPr>
          <w:p w14:paraId="7F55D609">
            <w:pPr>
              <w:pStyle w:val="5"/>
              <w:widowControl/>
            </w:pPr>
          </w:p>
        </w:tc>
        <w:tc>
          <w:tcPr>
            <w:tcW w:w="1063" w:type="dxa"/>
            <w:noWrap w:val="0"/>
            <w:vAlign w:val="top"/>
          </w:tcPr>
          <w:p w14:paraId="4BD6E887">
            <w:pPr>
              <w:pStyle w:val="5"/>
              <w:widowControl/>
            </w:pPr>
          </w:p>
        </w:tc>
      </w:tr>
    </w:tbl>
    <w:p w14:paraId="205F817D">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p w14:paraId="0280EEF0">
      <w:pPr>
        <w:rPr>
          <w:rFonts w:ascii="Arial" w:hAnsi="Arial" w:eastAsia="Arial" w:cs="Arial"/>
          <w:sz w:val="21"/>
          <w:szCs w:val="21"/>
        </w:rPr>
        <w:sectPr>
          <w:pgSz w:w="11906" w:h="16839"/>
          <w:pgMar w:top="1431" w:right="1687" w:bottom="0" w:left="1687" w:header="0" w:footer="0" w:gutter="0"/>
          <w:cols w:space="720" w:num="1"/>
        </w:sectPr>
      </w:pPr>
    </w:p>
    <w:p w14:paraId="0F25504E">
      <w:pPr>
        <w:widowControl/>
        <w:kinsoku w:val="0"/>
        <w:autoSpaceDE w:val="0"/>
        <w:autoSpaceDN w:val="0"/>
        <w:adjustRightInd w:val="0"/>
        <w:snapToGrid w:val="0"/>
        <w:spacing w:line="91" w:lineRule="auto"/>
        <w:jc w:val="left"/>
        <w:textAlignment w:val="baseline"/>
        <w:rPr>
          <w:rFonts w:ascii="Arial" w:hAnsi="Arial" w:eastAsia="Arial" w:cs="Arial"/>
          <w:snapToGrid w:val="0"/>
          <w:color w:val="000000"/>
          <w:kern w:val="0"/>
          <w:sz w:val="2"/>
          <w:szCs w:val="21"/>
          <w:lang w:eastAsia="en-US"/>
        </w:rPr>
      </w:pPr>
    </w:p>
    <w:tbl>
      <w:tblPr>
        <w:tblStyle w:val="4"/>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0"/>
        <w:gridCol w:w="5758"/>
        <w:gridCol w:w="1165"/>
        <w:gridCol w:w="1063"/>
      </w:tblGrid>
      <w:tr w14:paraId="4F759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89" w:hRule="atLeast"/>
        </w:trPr>
        <w:tc>
          <w:tcPr>
            <w:tcW w:w="540" w:type="dxa"/>
            <w:noWrap w:val="0"/>
            <w:vAlign w:val="top"/>
          </w:tcPr>
          <w:p w14:paraId="6A90A517">
            <w:pPr>
              <w:pStyle w:val="5"/>
              <w:widowControl/>
              <w:spacing w:line="370" w:lineRule="auto"/>
            </w:pPr>
          </w:p>
          <w:p w14:paraId="55E02ADB">
            <w:pPr>
              <w:widowControl/>
              <w:kinsoku w:val="0"/>
              <w:autoSpaceDE w:val="0"/>
              <w:autoSpaceDN w:val="0"/>
              <w:adjustRightInd w:val="0"/>
              <w:snapToGrid w:val="0"/>
              <w:spacing w:before="80" w:line="189" w:lineRule="auto"/>
              <w:ind w:left="140"/>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17"/>
                <w:kern w:val="0"/>
                <w:sz w:val="28"/>
                <w:szCs w:val="28"/>
                <w:lang w:eastAsia="en-US"/>
              </w:rPr>
              <w:t>10</w:t>
            </w:r>
          </w:p>
        </w:tc>
        <w:tc>
          <w:tcPr>
            <w:tcW w:w="5758" w:type="dxa"/>
            <w:noWrap w:val="0"/>
            <w:vAlign w:val="top"/>
          </w:tcPr>
          <w:p w14:paraId="16713676">
            <w:pPr>
              <w:widowControl/>
              <w:kinsoku w:val="0"/>
              <w:autoSpaceDE w:val="0"/>
              <w:autoSpaceDN w:val="0"/>
              <w:adjustRightInd w:val="0"/>
              <w:snapToGrid w:val="0"/>
              <w:spacing w:before="46" w:line="227" w:lineRule="auto"/>
              <w:ind w:left="118" w:right="103" w:hanging="10"/>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严格执行门诊医疗文书书写要求，明确医疗文</w:t>
            </w:r>
            <w:r>
              <w:rPr>
                <w:rFonts w:ascii="仿宋" w:hAnsi="仿宋" w:eastAsia="仿宋" w:cs="仿宋"/>
                <w:snapToGrid w:val="0"/>
                <w:color w:val="000000"/>
                <w:spacing w:val="-4"/>
                <w:kern w:val="0"/>
                <w:sz w:val="28"/>
                <w:szCs w:val="28"/>
                <w:lang w:eastAsia="en-US"/>
              </w:rPr>
              <w:t>书审核流程，提升门诊医疗文书完整度、规范</w:t>
            </w:r>
            <w:r>
              <w:rPr>
                <w:rFonts w:ascii="仿宋" w:hAnsi="仿宋" w:eastAsia="仿宋" w:cs="仿宋"/>
                <w:snapToGrid w:val="0"/>
                <w:color w:val="000000"/>
                <w:spacing w:val="-3"/>
                <w:kern w:val="0"/>
                <w:sz w:val="28"/>
                <w:szCs w:val="28"/>
                <w:lang w:eastAsia="en-US"/>
              </w:rPr>
              <w:t>性及内涵质量。</w:t>
            </w:r>
          </w:p>
        </w:tc>
        <w:tc>
          <w:tcPr>
            <w:tcW w:w="1165" w:type="dxa"/>
            <w:noWrap w:val="0"/>
            <w:vAlign w:val="top"/>
          </w:tcPr>
          <w:p w14:paraId="24CE9CA0">
            <w:pPr>
              <w:pStyle w:val="5"/>
              <w:widowControl/>
            </w:pPr>
          </w:p>
        </w:tc>
        <w:tc>
          <w:tcPr>
            <w:tcW w:w="1063" w:type="dxa"/>
            <w:noWrap w:val="0"/>
            <w:vAlign w:val="top"/>
          </w:tcPr>
          <w:p w14:paraId="3FF0BAEF">
            <w:pPr>
              <w:pStyle w:val="5"/>
              <w:widowControl/>
            </w:pPr>
          </w:p>
        </w:tc>
      </w:tr>
      <w:tr w14:paraId="31E1D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540" w:type="dxa"/>
            <w:noWrap w:val="0"/>
            <w:vAlign w:val="top"/>
          </w:tcPr>
          <w:p w14:paraId="7FD20BBB">
            <w:pPr>
              <w:pStyle w:val="5"/>
              <w:widowControl/>
              <w:spacing w:line="272" w:lineRule="auto"/>
            </w:pPr>
          </w:p>
          <w:p w14:paraId="12852190">
            <w:pPr>
              <w:pStyle w:val="5"/>
              <w:widowControl/>
              <w:spacing w:line="273" w:lineRule="auto"/>
            </w:pPr>
          </w:p>
          <w:p w14:paraId="20ACBDA2">
            <w:pPr>
              <w:widowControl/>
              <w:kinsoku w:val="0"/>
              <w:autoSpaceDE w:val="0"/>
              <w:autoSpaceDN w:val="0"/>
              <w:adjustRightInd w:val="0"/>
              <w:snapToGrid w:val="0"/>
              <w:spacing w:before="80" w:line="189" w:lineRule="auto"/>
              <w:ind w:left="140"/>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17"/>
                <w:kern w:val="0"/>
                <w:sz w:val="28"/>
                <w:szCs w:val="28"/>
                <w:lang w:eastAsia="en-US"/>
              </w:rPr>
              <w:t>11</w:t>
            </w:r>
          </w:p>
        </w:tc>
        <w:tc>
          <w:tcPr>
            <w:tcW w:w="5758" w:type="dxa"/>
            <w:noWrap w:val="0"/>
            <w:vAlign w:val="top"/>
          </w:tcPr>
          <w:p w14:paraId="00B5C3D4">
            <w:pPr>
              <w:widowControl/>
              <w:kinsoku w:val="0"/>
              <w:autoSpaceDE w:val="0"/>
              <w:autoSpaceDN w:val="0"/>
              <w:adjustRightInd w:val="0"/>
              <w:snapToGrid w:val="0"/>
              <w:spacing w:before="44" w:line="229" w:lineRule="auto"/>
              <w:ind w:left="116" w:right="103" w:firstLine="6"/>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开展家庭医生签约服务质量控制，规范为重点人群提供的上门评估、随访、健康指导及家庭病床等服务行为，持续提升签约服务规范性与</w:t>
            </w:r>
            <w:r>
              <w:rPr>
                <w:rFonts w:ascii="仿宋" w:hAnsi="仿宋" w:eastAsia="仿宋" w:cs="仿宋"/>
                <w:snapToGrid w:val="0"/>
                <w:color w:val="000000"/>
                <w:spacing w:val="-3"/>
                <w:kern w:val="0"/>
                <w:sz w:val="28"/>
                <w:szCs w:val="28"/>
                <w:lang w:eastAsia="en-US"/>
              </w:rPr>
              <w:t>服务质量。</w:t>
            </w:r>
          </w:p>
        </w:tc>
        <w:tc>
          <w:tcPr>
            <w:tcW w:w="1165" w:type="dxa"/>
            <w:noWrap w:val="0"/>
            <w:vAlign w:val="top"/>
          </w:tcPr>
          <w:p w14:paraId="191283AB">
            <w:pPr>
              <w:pStyle w:val="5"/>
              <w:widowControl/>
            </w:pPr>
          </w:p>
        </w:tc>
        <w:tc>
          <w:tcPr>
            <w:tcW w:w="1063" w:type="dxa"/>
            <w:noWrap w:val="0"/>
            <w:vAlign w:val="top"/>
          </w:tcPr>
          <w:p w14:paraId="0B3332E0">
            <w:pPr>
              <w:pStyle w:val="5"/>
              <w:widowControl/>
            </w:pPr>
          </w:p>
        </w:tc>
      </w:tr>
      <w:tr w14:paraId="49599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8526" w:type="dxa"/>
            <w:gridSpan w:val="4"/>
            <w:noWrap w:val="0"/>
            <w:vAlign w:val="top"/>
          </w:tcPr>
          <w:p w14:paraId="76E9FB11">
            <w:pPr>
              <w:widowControl/>
              <w:kinsoku w:val="0"/>
              <w:autoSpaceDE w:val="0"/>
              <w:autoSpaceDN w:val="0"/>
              <w:adjustRightInd w:val="0"/>
              <w:snapToGrid w:val="0"/>
              <w:spacing w:before="147" w:line="223" w:lineRule="auto"/>
              <w:ind w:left="133"/>
              <w:jc w:val="left"/>
              <w:textAlignment w:val="baseline"/>
              <w:rPr>
                <w:rFonts w:ascii="楷体" w:hAnsi="楷体" w:eastAsia="楷体" w:cs="楷体"/>
                <w:snapToGrid w:val="0"/>
                <w:color w:val="000000"/>
                <w:kern w:val="0"/>
                <w:sz w:val="31"/>
                <w:szCs w:val="31"/>
                <w:lang w:eastAsia="en-US"/>
              </w:rPr>
            </w:pPr>
            <w:r>
              <w:rPr>
                <w:rFonts w:ascii="楷体" w:hAnsi="楷体" w:eastAsia="楷体" w:cs="楷体"/>
                <w:b/>
                <w:bCs/>
                <w:snapToGrid w:val="0"/>
                <w:color w:val="000000"/>
                <w:spacing w:val="5"/>
                <w:kern w:val="0"/>
                <w:sz w:val="31"/>
                <w:szCs w:val="31"/>
                <w:lang w:eastAsia="en-US"/>
              </w:rPr>
              <w:t>四、提高急诊急救医疗质量</w:t>
            </w:r>
          </w:p>
        </w:tc>
      </w:tr>
      <w:tr w14:paraId="30B08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trPr>
        <w:tc>
          <w:tcPr>
            <w:tcW w:w="540" w:type="dxa"/>
            <w:noWrap w:val="0"/>
            <w:vAlign w:val="top"/>
          </w:tcPr>
          <w:p w14:paraId="57A0CA3F">
            <w:pPr>
              <w:pStyle w:val="5"/>
              <w:widowControl/>
              <w:spacing w:line="241" w:lineRule="auto"/>
            </w:pPr>
          </w:p>
          <w:p w14:paraId="40D3699F">
            <w:pPr>
              <w:pStyle w:val="5"/>
              <w:widowControl/>
              <w:spacing w:line="241" w:lineRule="auto"/>
            </w:pPr>
          </w:p>
          <w:p w14:paraId="75132105">
            <w:pPr>
              <w:pStyle w:val="5"/>
              <w:widowControl/>
              <w:spacing w:line="242" w:lineRule="auto"/>
            </w:pPr>
          </w:p>
          <w:p w14:paraId="01BC246D">
            <w:pPr>
              <w:widowControl/>
              <w:kinsoku w:val="0"/>
              <w:autoSpaceDE w:val="0"/>
              <w:autoSpaceDN w:val="0"/>
              <w:adjustRightInd w:val="0"/>
              <w:snapToGrid w:val="0"/>
              <w:spacing w:before="80" w:line="189" w:lineRule="auto"/>
              <w:ind w:left="140"/>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17"/>
                <w:kern w:val="0"/>
                <w:sz w:val="28"/>
                <w:szCs w:val="28"/>
                <w:lang w:eastAsia="en-US"/>
              </w:rPr>
              <w:t>12</w:t>
            </w:r>
          </w:p>
        </w:tc>
        <w:tc>
          <w:tcPr>
            <w:tcW w:w="5758" w:type="dxa"/>
            <w:noWrap w:val="0"/>
            <w:vAlign w:val="top"/>
          </w:tcPr>
          <w:p w14:paraId="5F2D1367">
            <w:pPr>
              <w:widowControl/>
              <w:kinsoku w:val="0"/>
              <w:autoSpaceDE w:val="0"/>
              <w:autoSpaceDN w:val="0"/>
              <w:adjustRightInd w:val="0"/>
              <w:snapToGrid w:val="0"/>
              <w:spacing w:before="42" w:line="231" w:lineRule="auto"/>
              <w:ind w:left="107" w:right="16" w:firstLine="6"/>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3"/>
                <w:kern w:val="0"/>
                <w:sz w:val="28"/>
                <w:szCs w:val="28"/>
                <w:lang w:eastAsia="en-US"/>
              </w:rPr>
              <w:t>加强开设急诊、胸痛救治单元、卒中救治单元、</w:t>
            </w:r>
            <w:r>
              <w:rPr>
                <w:rFonts w:ascii="仿宋" w:hAnsi="仿宋" w:eastAsia="仿宋" w:cs="仿宋"/>
                <w:snapToGrid w:val="0"/>
                <w:color w:val="000000"/>
                <w:spacing w:val="-1"/>
                <w:kern w:val="0"/>
                <w:sz w:val="28"/>
                <w:szCs w:val="28"/>
                <w:lang w:eastAsia="en-US"/>
              </w:rPr>
              <w:t>创伤救治单元等的基层医疗卫生机构急救能</w:t>
            </w:r>
            <w:r>
              <w:rPr>
                <w:rFonts w:ascii="仿宋" w:hAnsi="仿宋" w:eastAsia="仿宋" w:cs="仿宋"/>
                <w:snapToGrid w:val="0"/>
                <w:color w:val="000000"/>
                <w:spacing w:val="4"/>
                <w:kern w:val="0"/>
                <w:sz w:val="28"/>
                <w:szCs w:val="28"/>
                <w:lang w:eastAsia="en-US"/>
              </w:rPr>
              <w:t xml:space="preserve"> </w:t>
            </w:r>
            <w:r>
              <w:rPr>
                <w:rFonts w:ascii="仿宋" w:hAnsi="仿宋" w:eastAsia="仿宋" w:cs="仿宋"/>
                <w:snapToGrid w:val="0"/>
                <w:color w:val="000000"/>
                <w:spacing w:val="-3"/>
                <w:kern w:val="0"/>
                <w:sz w:val="28"/>
                <w:szCs w:val="28"/>
                <w:lang w:eastAsia="en-US"/>
              </w:rPr>
              <w:t>力建设，结合实际情况加强急救药品、设施设备配备，定期组织医护人员开展急救技能培训</w:t>
            </w:r>
            <w:r>
              <w:rPr>
                <w:rFonts w:ascii="仿宋" w:hAnsi="仿宋" w:eastAsia="仿宋" w:cs="仿宋"/>
                <w:snapToGrid w:val="0"/>
                <w:color w:val="000000"/>
                <w:spacing w:val="-1"/>
                <w:kern w:val="0"/>
                <w:sz w:val="28"/>
                <w:szCs w:val="28"/>
                <w:lang w:eastAsia="en-US"/>
              </w:rPr>
              <w:t>和应急演练，提升急危重症初步处置能力。</w:t>
            </w:r>
          </w:p>
        </w:tc>
        <w:tc>
          <w:tcPr>
            <w:tcW w:w="1165" w:type="dxa"/>
            <w:noWrap w:val="0"/>
            <w:vAlign w:val="top"/>
          </w:tcPr>
          <w:p w14:paraId="67CE04F5">
            <w:pPr>
              <w:pStyle w:val="5"/>
              <w:widowControl/>
            </w:pPr>
          </w:p>
        </w:tc>
        <w:tc>
          <w:tcPr>
            <w:tcW w:w="1063" w:type="dxa"/>
            <w:noWrap w:val="0"/>
            <w:vAlign w:val="top"/>
          </w:tcPr>
          <w:p w14:paraId="49272867">
            <w:pPr>
              <w:pStyle w:val="5"/>
              <w:widowControl/>
            </w:pPr>
          </w:p>
        </w:tc>
      </w:tr>
      <w:tr w14:paraId="74A14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540" w:type="dxa"/>
            <w:noWrap w:val="0"/>
            <w:vAlign w:val="top"/>
          </w:tcPr>
          <w:p w14:paraId="18308BC8">
            <w:pPr>
              <w:pStyle w:val="5"/>
              <w:widowControl/>
              <w:spacing w:line="369" w:lineRule="auto"/>
            </w:pPr>
          </w:p>
          <w:p w14:paraId="0A897A8E">
            <w:pPr>
              <w:widowControl/>
              <w:kinsoku w:val="0"/>
              <w:autoSpaceDE w:val="0"/>
              <w:autoSpaceDN w:val="0"/>
              <w:adjustRightInd w:val="0"/>
              <w:snapToGrid w:val="0"/>
              <w:spacing w:before="80" w:line="189" w:lineRule="auto"/>
              <w:ind w:left="140"/>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17"/>
                <w:kern w:val="0"/>
                <w:sz w:val="28"/>
                <w:szCs w:val="28"/>
                <w:lang w:eastAsia="en-US"/>
              </w:rPr>
              <w:t>13</w:t>
            </w:r>
          </w:p>
        </w:tc>
        <w:tc>
          <w:tcPr>
            <w:tcW w:w="5758" w:type="dxa"/>
            <w:noWrap w:val="0"/>
            <w:vAlign w:val="top"/>
          </w:tcPr>
          <w:p w14:paraId="0D1BED1A">
            <w:pPr>
              <w:widowControl/>
              <w:kinsoku w:val="0"/>
              <w:autoSpaceDE w:val="0"/>
              <w:autoSpaceDN w:val="0"/>
              <w:adjustRightInd w:val="0"/>
              <w:snapToGrid w:val="0"/>
              <w:spacing w:before="45" w:line="226" w:lineRule="auto"/>
              <w:ind w:left="115" w:right="105" w:firstLine="16"/>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5"/>
                <w:kern w:val="0"/>
                <w:sz w:val="28"/>
                <w:szCs w:val="28"/>
                <w:lang w:eastAsia="en-US"/>
              </w:rPr>
              <w:t>强化院前急救与院内急诊的衔接与信息共享，</w:t>
            </w:r>
            <w:r>
              <w:rPr>
                <w:rFonts w:ascii="仿宋" w:hAnsi="仿宋" w:eastAsia="仿宋" w:cs="仿宋"/>
                <w:snapToGrid w:val="0"/>
                <w:color w:val="000000"/>
                <w:spacing w:val="-4"/>
                <w:kern w:val="0"/>
                <w:sz w:val="28"/>
                <w:szCs w:val="28"/>
                <w:lang w:eastAsia="en-US"/>
              </w:rPr>
              <w:t>明确院前急救信息（患者病情、体征、处置措施）实时传输流程，实现院前院内无缝衔接。</w:t>
            </w:r>
          </w:p>
        </w:tc>
        <w:tc>
          <w:tcPr>
            <w:tcW w:w="1165" w:type="dxa"/>
            <w:noWrap w:val="0"/>
            <w:vAlign w:val="top"/>
          </w:tcPr>
          <w:p w14:paraId="48B46773">
            <w:pPr>
              <w:pStyle w:val="5"/>
              <w:widowControl/>
            </w:pPr>
          </w:p>
        </w:tc>
        <w:tc>
          <w:tcPr>
            <w:tcW w:w="1063" w:type="dxa"/>
            <w:noWrap w:val="0"/>
            <w:vAlign w:val="top"/>
          </w:tcPr>
          <w:p w14:paraId="38F35E2E">
            <w:pPr>
              <w:pStyle w:val="5"/>
              <w:widowControl/>
            </w:pPr>
          </w:p>
        </w:tc>
      </w:tr>
      <w:tr w14:paraId="7B820D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540" w:type="dxa"/>
            <w:noWrap w:val="0"/>
            <w:vAlign w:val="top"/>
          </w:tcPr>
          <w:p w14:paraId="4147EEEF">
            <w:pPr>
              <w:pStyle w:val="5"/>
              <w:widowControl/>
              <w:spacing w:line="369" w:lineRule="auto"/>
            </w:pPr>
          </w:p>
          <w:p w14:paraId="3FB75122">
            <w:pPr>
              <w:widowControl/>
              <w:kinsoku w:val="0"/>
              <w:autoSpaceDE w:val="0"/>
              <w:autoSpaceDN w:val="0"/>
              <w:adjustRightInd w:val="0"/>
              <w:snapToGrid w:val="0"/>
              <w:spacing w:before="81" w:line="189" w:lineRule="auto"/>
              <w:ind w:left="140"/>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17"/>
                <w:kern w:val="0"/>
                <w:sz w:val="28"/>
                <w:szCs w:val="28"/>
                <w:lang w:eastAsia="en-US"/>
              </w:rPr>
              <w:t>14</w:t>
            </w:r>
          </w:p>
        </w:tc>
        <w:tc>
          <w:tcPr>
            <w:tcW w:w="5758" w:type="dxa"/>
            <w:noWrap w:val="0"/>
            <w:vAlign w:val="top"/>
          </w:tcPr>
          <w:p w14:paraId="0E770F8C">
            <w:pPr>
              <w:widowControl/>
              <w:kinsoku w:val="0"/>
              <w:autoSpaceDE w:val="0"/>
              <w:autoSpaceDN w:val="0"/>
              <w:adjustRightInd w:val="0"/>
              <w:snapToGrid w:val="0"/>
              <w:spacing w:before="46" w:line="226" w:lineRule="auto"/>
              <w:ind w:left="128" w:right="103" w:hanging="15"/>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加强急危重症患者早期识别、初步救治和稳定生命体征，明确救治流程与责任分工，确保救</w:t>
            </w:r>
            <w:r>
              <w:rPr>
                <w:rFonts w:ascii="仿宋" w:hAnsi="仿宋" w:eastAsia="仿宋" w:cs="仿宋"/>
                <w:snapToGrid w:val="0"/>
                <w:color w:val="000000"/>
                <w:spacing w:val="-5"/>
                <w:kern w:val="0"/>
                <w:sz w:val="28"/>
                <w:szCs w:val="28"/>
                <w:lang w:eastAsia="en-US"/>
              </w:rPr>
              <w:t>治及时规范。</w:t>
            </w:r>
          </w:p>
        </w:tc>
        <w:tc>
          <w:tcPr>
            <w:tcW w:w="1165" w:type="dxa"/>
            <w:noWrap w:val="0"/>
            <w:vAlign w:val="top"/>
          </w:tcPr>
          <w:p w14:paraId="6F61A8E0">
            <w:pPr>
              <w:pStyle w:val="5"/>
              <w:widowControl/>
            </w:pPr>
          </w:p>
        </w:tc>
        <w:tc>
          <w:tcPr>
            <w:tcW w:w="1063" w:type="dxa"/>
            <w:noWrap w:val="0"/>
            <w:vAlign w:val="top"/>
          </w:tcPr>
          <w:p w14:paraId="54C5F407">
            <w:pPr>
              <w:pStyle w:val="5"/>
              <w:widowControl/>
            </w:pPr>
          </w:p>
        </w:tc>
      </w:tr>
      <w:tr w14:paraId="116D8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540" w:type="dxa"/>
            <w:noWrap w:val="0"/>
            <w:vAlign w:val="top"/>
          </w:tcPr>
          <w:p w14:paraId="5C61E782">
            <w:pPr>
              <w:pStyle w:val="5"/>
              <w:widowControl/>
              <w:spacing w:line="369" w:lineRule="auto"/>
            </w:pPr>
          </w:p>
          <w:p w14:paraId="08B5BDAC">
            <w:pPr>
              <w:widowControl/>
              <w:kinsoku w:val="0"/>
              <w:autoSpaceDE w:val="0"/>
              <w:autoSpaceDN w:val="0"/>
              <w:adjustRightInd w:val="0"/>
              <w:snapToGrid w:val="0"/>
              <w:spacing w:before="80" w:line="189" w:lineRule="auto"/>
              <w:ind w:left="140"/>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17"/>
                <w:kern w:val="0"/>
                <w:sz w:val="28"/>
                <w:szCs w:val="28"/>
                <w:lang w:eastAsia="en-US"/>
              </w:rPr>
              <w:t>15</w:t>
            </w:r>
          </w:p>
        </w:tc>
        <w:tc>
          <w:tcPr>
            <w:tcW w:w="5758" w:type="dxa"/>
            <w:noWrap w:val="0"/>
            <w:vAlign w:val="top"/>
          </w:tcPr>
          <w:p w14:paraId="1363A56D">
            <w:pPr>
              <w:widowControl/>
              <w:kinsoku w:val="0"/>
              <w:autoSpaceDE w:val="0"/>
              <w:autoSpaceDN w:val="0"/>
              <w:adjustRightInd w:val="0"/>
              <w:snapToGrid w:val="0"/>
              <w:spacing w:before="46" w:line="226" w:lineRule="auto"/>
              <w:ind w:left="110" w:right="103" w:firstLine="21"/>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5"/>
                <w:kern w:val="0"/>
                <w:sz w:val="28"/>
                <w:szCs w:val="28"/>
                <w:lang w:eastAsia="en-US"/>
              </w:rPr>
              <w:t>强化转诊衔接，建立与上级医院急诊转诊绿色</w:t>
            </w:r>
            <w:r>
              <w:rPr>
                <w:rFonts w:ascii="仿宋" w:hAnsi="仿宋" w:eastAsia="仿宋" w:cs="仿宋"/>
                <w:snapToGrid w:val="0"/>
                <w:color w:val="000000"/>
                <w:spacing w:val="-4"/>
                <w:kern w:val="0"/>
                <w:sz w:val="28"/>
                <w:szCs w:val="28"/>
                <w:lang w:eastAsia="en-US"/>
              </w:rPr>
              <w:t>通道，制订转诊指征、流程及信息交接规范，</w:t>
            </w:r>
            <w:r>
              <w:rPr>
                <w:rFonts w:ascii="仿宋" w:hAnsi="仿宋" w:eastAsia="仿宋" w:cs="仿宋"/>
                <w:snapToGrid w:val="0"/>
                <w:color w:val="000000"/>
                <w:spacing w:val="-2"/>
                <w:kern w:val="0"/>
                <w:sz w:val="28"/>
                <w:szCs w:val="28"/>
                <w:lang w:eastAsia="en-US"/>
              </w:rPr>
              <w:t>保障转诊安全。</w:t>
            </w:r>
          </w:p>
        </w:tc>
        <w:tc>
          <w:tcPr>
            <w:tcW w:w="1165" w:type="dxa"/>
            <w:noWrap w:val="0"/>
            <w:vAlign w:val="top"/>
          </w:tcPr>
          <w:p w14:paraId="360F458A">
            <w:pPr>
              <w:pStyle w:val="5"/>
              <w:widowControl/>
            </w:pPr>
          </w:p>
        </w:tc>
        <w:tc>
          <w:tcPr>
            <w:tcW w:w="1063" w:type="dxa"/>
            <w:noWrap w:val="0"/>
            <w:vAlign w:val="top"/>
          </w:tcPr>
          <w:p w14:paraId="12C2F5D0">
            <w:pPr>
              <w:pStyle w:val="5"/>
              <w:widowControl/>
            </w:pPr>
          </w:p>
        </w:tc>
      </w:tr>
      <w:tr w14:paraId="7DA78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8526" w:type="dxa"/>
            <w:gridSpan w:val="4"/>
            <w:noWrap w:val="0"/>
            <w:vAlign w:val="top"/>
          </w:tcPr>
          <w:p w14:paraId="3F5F9E05">
            <w:pPr>
              <w:widowControl/>
              <w:kinsoku w:val="0"/>
              <w:autoSpaceDE w:val="0"/>
              <w:autoSpaceDN w:val="0"/>
              <w:adjustRightInd w:val="0"/>
              <w:snapToGrid w:val="0"/>
              <w:spacing w:before="148" w:line="225" w:lineRule="auto"/>
              <w:ind w:left="114"/>
              <w:jc w:val="left"/>
              <w:textAlignment w:val="baseline"/>
              <w:rPr>
                <w:rFonts w:ascii="楷体" w:hAnsi="楷体" w:eastAsia="楷体" w:cs="楷体"/>
                <w:snapToGrid w:val="0"/>
                <w:color w:val="000000"/>
                <w:kern w:val="0"/>
                <w:sz w:val="31"/>
                <w:szCs w:val="31"/>
                <w:lang w:eastAsia="en-US"/>
              </w:rPr>
            </w:pPr>
            <w:r>
              <w:rPr>
                <w:rFonts w:ascii="楷体" w:hAnsi="楷体" w:eastAsia="楷体" w:cs="楷体"/>
                <w:b/>
                <w:bCs/>
                <w:snapToGrid w:val="0"/>
                <w:color w:val="000000"/>
                <w:spacing w:val="7"/>
                <w:kern w:val="0"/>
                <w:sz w:val="31"/>
                <w:szCs w:val="31"/>
                <w:lang w:eastAsia="en-US"/>
              </w:rPr>
              <w:t>五、促进规范合理用药</w:t>
            </w:r>
          </w:p>
        </w:tc>
      </w:tr>
      <w:tr w14:paraId="5A02D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40" w:type="dxa"/>
            <w:noWrap w:val="0"/>
            <w:vAlign w:val="top"/>
          </w:tcPr>
          <w:p w14:paraId="02769697">
            <w:pPr>
              <w:widowControl/>
              <w:kinsoku w:val="0"/>
              <w:autoSpaceDE w:val="0"/>
              <w:autoSpaceDN w:val="0"/>
              <w:adjustRightInd w:val="0"/>
              <w:snapToGrid w:val="0"/>
              <w:spacing w:before="271" w:line="189" w:lineRule="auto"/>
              <w:ind w:left="140"/>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17"/>
                <w:kern w:val="0"/>
                <w:sz w:val="28"/>
                <w:szCs w:val="28"/>
                <w:lang w:eastAsia="en-US"/>
              </w:rPr>
              <w:t>16</w:t>
            </w:r>
          </w:p>
        </w:tc>
        <w:tc>
          <w:tcPr>
            <w:tcW w:w="5758" w:type="dxa"/>
            <w:noWrap w:val="0"/>
            <w:vAlign w:val="top"/>
          </w:tcPr>
          <w:p w14:paraId="1897F4E1">
            <w:pPr>
              <w:widowControl/>
              <w:kinsoku w:val="0"/>
              <w:autoSpaceDE w:val="0"/>
              <w:autoSpaceDN w:val="0"/>
              <w:adjustRightInd w:val="0"/>
              <w:snapToGrid w:val="0"/>
              <w:spacing w:before="47" w:line="220" w:lineRule="auto"/>
              <w:ind w:left="121" w:right="103" w:firstLine="1"/>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规范医师和乡村医生处方行为，按照安全、有</w:t>
            </w:r>
            <w:r>
              <w:rPr>
                <w:rFonts w:ascii="仿宋" w:hAnsi="仿宋" w:eastAsia="仿宋" w:cs="仿宋"/>
                <w:snapToGrid w:val="0"/>
                <w:color w:val="000000"/>
                <w:spacing w:val="-1"/>
                <w:kern w:val="0"/>
                <w:sz w:val="28"/>
                <w:szCs w:val="28"/>
                <w:lang w:eastAsia="en-US"/>
              </w:rPr>
              <w:t>效、经济、适宜的合理用药原则开具处方。</w:t>
            </w:r>
          </w:p>
        </w:tc>
        <w:tc>
          <w:tcPr>
            <w:tcW w:w="1165" w:type="dxa"/>
            <w:noWrap w:val="0"/>
            <w:vAlign w:val="top"/>
          </w:tcPr>
          <w:p w14:paraId="52E1A494">
            <w:pPr>
              <w:pStyle w:val="5"/>
              <w:widowControl/>
            </w:pPr>
          </w:p>
        </w:tc>
        <w:tc>
          <w:tcPr>
            <w:tcW w:w="1063" w:type="dxa"/>
            <w:noWrap w:val="0"/>
            <w:vAlign w:val="top"/>
          </w:tcPr>
          <w:p w14:paraId="360F1613">
            <w:pPr>
              <w:pStyle w:val="5"/>
              <w:widowControl/>
            </w:pPr>
          </w:p>
        </w:tc>
      </w:tr>
      <w:tr w14:paraId="65925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40" w:type="dxa"/>
            <w:noWrap w:val="0"/>
            <w:vAlign w:val="top"/>
          </w:tcPr>
          <w:p w14:paraId="080244EC">
            <w:pPr>
              <w:widowControl/>
              <w:kinsoku w:val="0"/>
              <w:autoSpaceDE w:val="0"/>
              <w:autoSpaceDN w:val="0"/>
              <w:adjustRightInd w:val="0"/>
              <w:snapToGrid w:val="0"/>
              <w:spacing w:before="270" w:line="189" w:lineRule="auto"/>
              <w:ind w:left="140"/>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17"/>
                <w:kern w:val="0"/>
                <w:sz w:val="28"/>
                <w:szCs w:val="28"/>
                <w:lang w:eastAsia="en-US"/>
              </w:rPr>
              <w:t>17</w:t>
            </w:r>
          </w:p>
        </w:tc>
        <w:tc>
          <w:tcPr>
            <w:tcW w:w="5758" w:type="dxa"/>
            <w:noWrap w:val="0"/>
            <w:vAlign w:val="top"/>
          </w:tcPr>
          <w:p w14:paraId="3816E529">
            <w:pPr>
              <w:widowControl/>
              <w:kinsoku w:val="0"/>
              <w:autoSpaceDE w:val="0"/>
              <w:autoSpaceDN w:val="0"/>
              <w:adjustRightInd w:val="0"/>
              <w:snapToGrid w:val="0"/>
              <w:spacing w:before="44" w:line="221" w:lineRule="auto"/>
              <w:ind w:left="119" w:right="103" w:firstLine="12"/>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5"/>
                <w:kern w:val="0"/>
                <w:sz w:val="28"/>
                <w:szCs w:val="28"/>
                <w:lang w:eastAsia="en-US"/>
              </w:rPr>
              <w:t>强化</w:t>
            </w:r>
            <w:r>
              <w:rPr>
                <w:rFonts w:ascii="Times New Roman" w:hAnsi="Times New Roman" w:eastAsia="Times New Roman" w:cs="Times New Roman"/>
                <w:snapToGrid w:val="0"/>
                <w:color w:val="000000"/>
                <w:spacing w:val="-5"/>
                <w:kern w:val="0"/>
                <w:sz w:val="28"/>
                <w:szCs w:val="28"/>
                <w:lang w:eastAsia="en-US"/>
              </w:rPr>
              <w:t>“</w:t>
            </w:r>
            <w:r>
              <w:rPr>
                <w:rFonts w:ascii="Times New Roman" w:hAnsi="Times New Roman" w:eastAsia="Times New Roman" w:cs="Times New Roman"/>
                <w:snapToGrid w:val="0"/>
                <w:color w:val="000000"/>
                <w:spacing w:val="-42"/>
                <w:kern w:val="0"/>
                <w:sz w:val="28"/>
                <w:szCs w:val="28"/>
                <w:lang w:eastAsia="en-US"/>
              </w:rPr>
              <w:t xml:space="preserve"> </w:t>
            </w:r>
            <w:r>
              <w:rPr>
                <w:rFonts w:ascii="仿宋" w:hAnsi="仿宋" w:eastAsia="仿宋" w:cs="仿宋"/>
                <w:snapToGrid w:val="0"/>
                <w:color w:val="000000"/>
                <w:spacing w:val="-5"/>
                <w:kern w:val="0"/>
                <w:sz w:val="28"/>
                <w:szCs w:val="28"/>
                <w:lang w:eastAsia="en-US"/>
              </w:rPr>
              <w:t>一老一小</w:t>
            </w:r>
            <w:r>
              <w:rPr>
                <w:rFonts w:ascii="Times New Roman" w:hAnsi="Times New Roman" w:eastAsia="Times New Roman" w:cs="Times New Roman"/>
                <w:snapToGrid w:val="0"/>
                <w:color w:val="000000"/>
                <w:spacing w:val="-5"/>
                <w:kern w:val="0"/>
                <w:sz w:val="28"/>
                <w:szCs w:val="28"/>
                <w:lang w:eastAsia="en-US"/>
              </w:rPr>
              <w:t>”</w:t>
            </w:r>
            <w:r>
              <w:rPr>
                <w:rFonts w:ascii="Times New Roman" w:hAnsi="Times New Roman" w:eastAsia="Times New Roman" w:cs="Times New Roman"/>
                <w:snapToGrid w:val="0"/>
                <w:color w:val="000000"/>
                <w:spacing w:val="-45"/>
                <w:kern w:val="0"/>
                <w:sz w:val="28"/>
                <w:szCs w:val="28"/>
                <w:lang w:eastAsia="en-US"/>
              </w:rPr>
              <w:t xml:space="preserve"> </w:t>
            </w:r>
            <w:r>
              <w:rPr>
                <w:rFonts w:ascii="仿宋" w:hAnsi="仿宋" w:eastAsia="仿宋" w:cs="仿宋"/>
                <w:snapToGrid w:val="0"/>
                <w:color w:val="000000"/>
                <w:spacing w:val="-5"/>
                <w:kern w:val="0"/>
                <w:sz w:val="28"/>
                <w:szCs w:val="28"/>
                <w:lang w:eastAsia="en-US"/>
              </w:rPr>
              <w:t>等重点人群用药安全，规范慢</w:t>
            </w:r>
            <w:r>
              <w:rPr>
                <w:rFonts w:ascii="仿宋" w:hAnsi="仿宋" w:eastAsia="仿宋" w:cs="仿宋"/>
                <w:snapToGrid w:val="0"/>
                <w:color w:val="000000"/>
                <w:spacing w:val="-2"/>
                <w:kern w:val="0"/>
                <w:sz w:val="28"/>
                <w:szCs w:val="28"/>
                <w:lang w:eastAsia="en-US"/>
              </w:rPr>
              <w:t>性病患者长期处方开具标准。</w:t>
            </w:r>
          </w:p>
        </w:tc>
        <w:tc>
          <w:tcPr>
            <w:tcW w:w="1165" w:type="dxa"/>
            <w:noWrap w:val="0"/>
            <w:vAlign w:val="top"/>
          </w:tcPr>
          <w:p w14:paraId="5D300D86">
            <w:pPr>
              <w:pStyle w:val="5"/>
              <w:widowControl/>
            </w:pPr>
          </w:p>
        </w:tc>
        <w:tc>
          <w:tcPr>
            <w:tcW w:w="1063" w:type="dxa"/>
            <w:noWrap w:val="0"/>
            <w:vAlign w:val="top"/>
          </w:tcPr>
          <w:p w14:paraId="178B9099">
            <w:pPr>
              <w:pStyle w:val="5"/>
              <w:widowControl/>
            </w:pPr>
          </w:p>
        </w:tc>
      </w:tr>
      <w:tr w14:paraId="52C1A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540" w:type="dxa"/>
            <w:noWrap w:val="0"/>
            <w:vAlign w:val="top"/>
          </w:tcPr>
          <w:p w14:paraId="3FE9AEC1">
            <w:pPr>
              <w:widowControl/>
              <w:kinsoku w:val="0"/>
              <w:autoSpaceDE w:val="0"/>
              <w:autoSpaceDN w:val="0"/>
              <w:adjustRightInd w:val="0"/>
              <w:snapToGrid w:val="0"/>
              <w:spacing w:before="207" w:line="189" w:lineRule="auto"/>
              <w:ind w:left="140"/>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17"/>
                <w:kern w:val="0"/>
                <w:sz w:val="28"/>
                <w:szCs w:val="28"/>
                <w:lang w:eastAsia="en-US"/>
              </w:rPr>
              <w:t>18</w:t>
            </w:r>
          </w:p>
        </w:tc>
        <w:tc>
          <w:tcPr>
            <w:tcW w:w="5758" w:type="dxa"/>
            <w:noWrap w:val="0"/>
            <w:vAlign w:val="top"/>
          </w:tcPr>
          <w:p w14:paraId="05590A36">
            <w:pPr>
              <w:widowControl/>
              <w:kinsoku w:val="0"/>
              <w:autoSpaceDE w:val="0"/>
              <w:autoSpaceDN w:val="0"/>
              <w:adjustRightInd w:val="0"/>
              <w:snapToGrid w:val="0"/>
              <w:spacing w:before="163" w:line="217" w:lineRule="auto"/>
              <w:ind w:left="113"/>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
                <w:kern w:val="0"/>
                <w:sz w:val="28"/>
                <w:szCs w:val="28"/>
                <w:lang w:eastAsia="en-US"/>
              </w:rPr>
              <w:t>加强麻醉药品和精神药品等特殊药品管理。</w:t>
            </w:r>
          </w:p>
        </w:tc>
        <w:tc>
          <w:tcPr>
            <w:tcW w:w="1165" w:type="dxa"/>
            <w:noWrap w:val="0"/>
            <w:vAlign w:val="top"/>
          </w:tcPr>
          <w:p w14:paraId="407E1074">
            <w:pPr>
              <w:pStyle w:val="5"/>
              <w:widowControl/>
            </w:pPr>
          </w:p>
        </w:tc>
        <w:tc>
          <w:tcPr>
            <w:tcW w:w="1063" w:type="dxa"/>
            <w:noWrap w:val="0"/>
            <w:vAlign w:val="top"/>
          </w:tcPr>
          <w:p w14:paraId="023C20A6">
            <w:pPr>
              <w:pStyle w:val="5"/>
              <w:widowControl/>
            </w:pPr>
          </w:p>
        </w:tc>
      </w:tr>
      <w:tr w14:paraId="7A407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40" w:type="dxa"/>
            <w:noWrap w:val="0"/>
            <w:vAlign w:val="top"/>
          </w:tcPr>
          <w:p w14:paraId="23DAE8C4">
            <w:pPr>
              <w:widowControl/>
              <w:kinsoku w:val="0"/>
              <w:autoSpaceDE w:val="0"/>
              <w:autoSpaceDN w:val="0"/>
              <w:adjustRightInd w:val="0"/>
              <w:snapToGrid w:val="0"/>
              <w:spacing w:before="272" w:line="189" w:lineRule="auto"/>
              <w:ind w:left="140"/>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17"/>
                <w:kern w:val="0"/>
                <w:sz w:val="28"/>
                <w:szCs w:val="28"/>
                <w:lang w:eastAsia="en-US"/>
              </w:rPr>
              <w:t>19</w:t>
            </w:r>
          </w:p>
        </w:tc>
        <w:tc>
          <w:tcPr>
            <w:tcW w:w="5758" w:type="dxa"/>
            <w:noWrap w:val="0"/>
            <w:vAlign w:val="top"/>
          </w:tcPr>
          <w:p w14:paraId="57CF823C">
            <w:pPr>
              <w:widowControl/>
              <w:kinsoku w:val="0"/>
              <w:autoSpaceDE w:val="0"/>
              <w:autoSpaceDN w:val="0"/>
              <w:adjustRightInd w:val="0"/>
              <w:snapToGrid w:val="0"/>
              <w:spacing w:before="44" w:line="221" w:lineRule="auto"/>
              <w:ind w:left="116" w:right="103" w:firstLine="13"/>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完善抗菌药物分级管理制度，规范抗菌药物临床应用。</w:t>
            </w:r>
          </w:p>
        </w:tc>
        <w:tc>
          <w:tcPr>
            <w:tcW w:w="1165" w:type="dxa"/>
            <w:noWrap w:val="0"/>
            <w:vAlign w:val="top"/>
          </w:tcPr>
          <w:p w14:paraId="3DCBBF38">
            <w:pPr>
              <w:pStyle w:val="5"/>
              <w:widowControl/>
            </w:pPr>
          </w:p>
        </w:tc>
        <w:tc>
          <w:tcPr>
            <w:tcW w:w="1063" w:type="dxa"/>
            <w:noWrap w:val="0"/>
            <w:vAlign w:val="top"/>
          </w:tcPr>
          <w:p w14:paraId="3A6FD011">
            <w:pPr>
              <w:pStyle w:val="5"/>
              <w:widowControl/>
            </w:pPr>
          </w:p>
        </w:tc>
      </w:tr>
      <w:tr w14:paraId="11D4F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3" w:hRule="atLeast"/>
        </w:trPr>
        <w:tc>
          <w:tcPr>
            <w:tcW w:w="540" w:type="dxa"/>
            <w:noWrap w:val="0"/>
            <w:vAlign w:val="top"/>
          </w:tcPr>
          <w:p w14:paraId="32BE9BFD">
            <w:pPr>
              <w:pStyle w:val="5"/>
              <w:widowControl/>
              <w:spacing w:line="471" w:lineRule="auto"/>
            </w:pPr>
          </w:p>
          <w:p w14:paraId="6DE0CA0E">
            <w:pPr>
              <w:widowControl/>
              <w:kinsoku w:val="0"/>
              <w:autoSpaceDE w:val="0"/>
              <w:autoSpaceDN w:val="0"/>
              <w:adjustRightInd w:val="0"/>
              <w:snapToGrid w:val="0"/>
              <w:spacing w:before="81" w:line="189" w:lineRule="auto"/>
              <w:ind w:left="113"/>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3"/>
                <w:kern w:val="0"/>
                <w:sz w:val="28"/>
                <w:szCs w:val="28"/>
                <w:lang w:eastAsia="en-US"/>
              </w:rPr>
              <w:t>20</w:t>
            </w:r>
          </w:p>
        </w:tc>
        <w:tc>
          <w:tcPr>
            <w:tcW w:w="5758" w:type="dxa"/>
            <w:noWrap w:val="0"/>
            <w:vAlign w:val="top"/>
          </w:tcPr>
          <w:p w14:paraId="594A36BB">
            <w:pPr>
              <w:widowControl/>
              <w:kinsoku w:val="0"/>
              <w:autoSpaceDE w:val="0"/>
              <w:autoSpaceDN w:val="0"/>
              <w:adjustRightInd w:val="0"/>
              <w:snapToGrid w:val="0"/>
              <w:spacing w:before="148" w:line="238" w:lineRule="auto"/>
              <w:ind w:left="113" w:right="103"/>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
                <w:kern w:val="0"/>
                <w:sz w:val="28"/>
                <w:szCs w:val="28"/>
                <w:lang w:eastAsia="en-US"/>
              </w:rPr>
              <w:t>发挥医联体药师在处方审核、处方点评等作</w:t>
            </w:r>
            <w:r>
              <w:rPr>
                <w:rFonts w:ascii="仿宋" w:hAnsi="仿宋" w:eastAsia="仿宋" w:cs="仿宋"/>
                <w:snapToGrid w:val="0"/>
                <w:color w:val="000000"/>
                <w:spacing w:val="-4"/>
                <w:kern w:val="0"/>
                <w:sz w:val="28"/>
                <w:szCs w:val="28"/>
                <w:lang w:eastAsia="en-US"/>
              </w:rPr>
              <w:t>用，强化合理用药教育与培训，定期核查用药</w:t>
            </w:r>
            <w:r>
              <w:rPr>
                <w:rFonts w:ascii="仿宋" w:hAnsi="仿宋" w:eastAsia="仿宋" w:cs="仿宋"/>
                <w:snapToGrid w:val="0"/>
                <w:color w:val="000000"/>
                <w:spacing w:val="-1"/>
                <w:kern w:val="0"/>
                <w:sz w:val="28"/>
                <w:szCs w:val="28"/>
                <w:lang w:eastAsia="en-US"/>
              </w:rPr>
              <w:t>合理性，对不合理用药行为进行干预。</w:t>
            </w:r>
          </w:p>
        </w:tc>
        <w:tc>
          <w:tcPr>
            <w:tcW w:w="1165" w:type="dxa"/>
            <w:noWrap w:val="0"/>
            <w:vAlign w:val="top"/>
          </w:tcPr>
          <w:p w14:paraId="087A5FB5">
            <w:pPr>
              <w:pStyle w:val="5"/>
              <w:widowControl/>
            </w:pPr>
          </w:p>
        </w:tc>
        <w:tc>
          <w:tcPr>
            <w:tcW w:w="1063" w:type="dxa"/>
            <w:noWrap w:val="0"/>
            <w:vAlign w:val="top"/>
          </w:tcPr>
          <w:p w14:paraId="0D117AED">
            <w:pPr>
              <w:pStyle w:val="5"/>
              <w:widowControl/>
            </w:pPr>
          </w:p>
        </w:tc>
      </w:tr>
      <w:tr w14:paraId="5C238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540" w:type="dxa"/>
            <w:noWrap w:val="0"/>
            <w:vAlign w:val="top"/>
          </w:tcPr>
          <w:p w14:paraId="329634DC">
            <w:pPr>
              <w:widowControl/>
              <w:kinsoku w:val="0"/>
              <w:autoSpaceDE w:val="0"/>
              <w:autoSpaceDN w:val="0"/>
              <w:adjustRightInd w:val="0"/>
              <w:snapToGrid w:val="0"/>
              <w:spacing w:before="272" w:line="189" w:lineRule="auto"/>
              <w:ind w:left="113"/>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3"/>
                <w:kern w:val="0"/>
                <w:sz w:val="28"/>
                <w:szCs w:val="28"/>
                <w:lang w:eastAsia="en-US"/>
              </w:rPr>
              <w:t>21</w:t>
            </w:r>
          </w:p>
        </w:tc>
        <w:tc>
          <w:tcPr>
            <w:tcW w:w="5758" w:type="dxa"/>
            <w:noWrap w:val="0"/>
            <w:vAlign w:val="top"/>
          </w:tcPr>
          <w:p w14:paraId="08F6FA6B">
            <w:pPr>
              <w:widowControl/>
              <w:kinsoku w:val="0"/>
              <w:autoSpaceDE w:val="0"/>
              <w:autoSpaceDN w:val="0"/>
              <w:adjustRightInd w:val="0"/>
              <w:snapToGrid w:val="0"/>
              <w:spacing w:before="46" w:line="221" w:lineRule="auto"/>
              <w:ind w:left="119" w:right="103" w:firstLine="9"/>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完善药品不良反应监测与报告流程，做好药品</w:t>
            </w:r>
            <w:r>
              <w:rPr>
                <w:rFonts w:ascii="仿宋" w:hAnsi="仿宋" w:eastAsia="仿宋" w:cs="仿宋"/>
                <w:snapToGrid w:val="0"/>
                <w:color w:val="000000"/>
                <w:spacing w:val="-2"/>
                <w:kern w:val="0"/>
                <w:sz w:val="28"/>
                <w:szCs w:val="28"/>
                <w:lang w:eastAsia="en-US"/>
              </w:rPr>
              <w:t>不良反应监测报告。</w:t>
            </w:r>
          </w:p>
        </w:tc>
        <w:tc>
          <w:tcPr>
            <w:tcW w:w="1165" w:type="dxa"/>
            <w:noWrap w:val="0"/>
            <w:vAlign w:val="top"/>
          </w:tcPr>
          <w:p w14:paraId="667DD6A9">
            <w:pPr>
              <w:pStyle w:val="5"/>
              <w:widowControl/>
            </w:pPr>
          </w:p>
        </w:tc>
        <w:tc>
          <w:tcPr>
            <w:tcW w:w="1063" w:type="dxa"/>
            <w:noWrap w:val="0"/>
            <w:vAlign w:val="top"/>
          </w:tcPr>
          <w:p w14:paraId="5550EB76">
            <w:pPr>
              <w:pStyle w:val="5"/>
              <w:widowControl/>
            </w:pPr>
          </w:p>
        </w:tc>
      </w:tr>
    </w:tbl>
    <w:p w14:paraId="35D85C6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p w14:paraId="6E250E38">
      <w:pPr>
        <w:rPr>
          <w:rFonts w:ascii="Arial" w:hAnsi="Arial" w:eastAsia="Arial" w:cs="Arial"/>
          <w:sz w:val="21"/>
          <w:szCs w:val="21"/>
        </w:rPr>
        <w:sectPr>
          <w:pgSz w:w="11906" w:h="16839"/>
          <w:pgMar w:top="1431" w:right="1687" w:bottom="0" w:left="1687" w:header="0" w:footer="0" w:gutter="0"/>
          <w:cols w:space="720" w:num="1"/>
        </w:sectPr>
      </w:pPr>
    </w:p>
    <w:p w14:paraId="5316E588">
      <w:pPr>
        <w:widowControl/>
        <w:kinsoku w:val="0"/>
        <w:autoSpaceDE w:val="0"/>
        <w:autoSpaceDN w:val="0"/>
        <w:adjustRightInd w:val="0"/>
        <w:snapToGrid w:val="0"/>
        <w:spacing w:line="91" w:lineRule="auto"/>
        <w:jc w:val="left"/>
        <w:textAlignment w:val="baseline"/>
        <w:rPr>
          <w:rFonts w:ascii="Arial" w:hAnsi="Arial" w:eastAsia="Arial" w:cs="Arial"/>
          <w:snapToGrid w:val="0"/>
          <w:color w:val="000000"/>
          <w:kern w:val="0"/>
          <w:sz w:val="2"/>
          <w:szCs w:val="21"/>
          <w:lang w:eastAsia="en-US"/>
        </w:rPr>
      </w:pPr>
    </w:p>
    <w:tbl>
      <w:tblPr>
        <w:tblStyle w:val="4"/>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0"/>
        <w:gridCol w:w="5758"/>
        <w:gridCol w:w="1165"/>
        <w:gridCol w:w="1063"/>
      </w:tblGrid>
      <w:tr w14:paraId="348BD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14" w:hRule="atLeast"/>
        </w:trPr>
        <w:tc>
          <w:tcPr>
            <w:tcW w:w="8526" w:type="dxa"/>
            <w:gridSpan w:val="4"/>
            <w:noWrap w:val="0"/>
            <w:vAlign w:val="top"/>
          </w:tcPr>
          <w:p w14:paraId="6DA8E22E">
            <w:pPr>
              <w:widowControl/>
              <w:kinsoku w:val="0"/>
              <w:autoSpaceDE w:val="0"/>
              <w:autoSpaceDN w:val="0"/>
              <w:adjustRightInd w:val="0"/>
              <w:snapToGrid w:val="0"/>
              <w:spacing w:before="150" w:line="223" w:lineRule="auto"/>
              <w:ind w:left="131"/>
              <w:jc w:val="left"/>
              <w:textAlignment w:val="baseline"/>
              <w:rPr>
                <w:rFonts w:ascii="楷体" w:hAnsi="楷体" w:eastAsia="楷体" w:cs="楷体"/>
                <w:snapToGrid w:val="0"/>
                <w:color w:val="000000"/>
                <w:kern w:val="0"/>
                <w:sz w:val="31"/>
                <w:szCs w:val="31"/>
                <w:lang w:eastAsia="en-US"/>
              </w:rPr>
            </w:pPr>
            <w:r>
              <w:rPr>
                <w:rFonts w:ascii="楷体" w:hAnsi="楷体" w:eastAsia="楷体" w:cs="楷体"/>
                <w:b/>
                <w:bCs/>
                <w:snapToGrid w:val="0"/>
                <w:color w:val="000000"/>
                <w:spacing w:val="5"/>
                <w:kern w:val="0"/>
                <w:sz w:val="31"/>
                <w:szCs w:val="31"/>
                <w:lang w:eastAsia="en-US"/>
              </w:rPr>
              <w:t>六、保障检验检查质量</w:t>
            </w:r>
          </w:p>
        </w:tc>
      </w:tr>
      <w:tr w14:paraId="0AB542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3" w:hRule="atLeast"/>
        </w:trPr>
        <w:tc>
          <w:tcPr>
            <w:tcW w:w="540" w:type="dxa"/>
            <w:noWrap w:val="0"/>
            <w:vAlign w:val="top"/>
          </w:tcPr>
          <w:p w14:paraId="05505A54">
            <w:pPr>
              <w:pStyle w:val="5"/>
              <w:widowControl/>
              <w:spacing w:line="301" w:lineRule="auto"/>
            </w:pPr>
          </w:p>
          <w:p w14:paraId="35A76EC3">
            <w:pPr>
              <w:widowControl/>
              <w:kinsoku w:val="0"/>
              <w:autoSpaceDE w:val="0"/>
              <w:autoSpaceDN w:val="0"/>
              <w:adjustRightInd w:val="0"/>
              <w:snapToGrid w:val="0"/>
              <w:spacing w:before="81" w:line="189" w:lineRule="auto"/>
              <w:ind w:left="113"/>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3"/>
                <w:kern w:val="0"/>
                <w:sz w:val="28"/>
                <w:szCs w:val="28"/>
                <w:lang w:eastAsia="en-US"/>
              </w:rPr>
              <w:t>22</w:t>
            </w:r>
          </w:p>
        </w:tc>
        <w:tc>
          <w:tcPr>
            <w:tcW w:w="5758" w:type="dxa"/>
            <w:noWrap w:val="0"/>
            <w:vAlign w:val="top"/>
          </w:tcPr>
          <w:p w14:paraId="425FDF1F">
            <w:pPr>
              <w:widowControl/>
              <w:kinsoku w:val="0"/>
              <w:autoSpaceDE w:val="0"/>
              <w:autoSpaceDN w:val="0"/>
              <w:adjustRightInd w:val="0"/>
              <w:snapToGrid w:val="0"/>
              <w:spacing w:before="157" w:line="238" w:lineRule="auto"/>
              <w:ind w:left="112" w:right="103" w:hanging="1"/>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建立健全覆盖检验、检查全流程的质量管理制</w:t>
            </w:r>
            <w:r>
              <w:rPr>
                <w:rFonts w:ascii="仿宋" w:hAnsi="仿宋" w:eastAsia="仿宋" w:cs="仿宋"/>
                <w:snapToGrid w:val="0"/>
                <w:color w:val="000000"/>
                <w:spacing w:val="-1"/>
                <w:kern w:val="0"/>
                <w:sz w:val="28"/>
                <w:szCs w:val="28"/>
                <w:lang w:eastAsia="en-US"/>
              </w:rPr>
              <w:t>度，制定常态化质控计划。</w:t>
            </w:r>
          </w:p>
        </w:tc>
        <w:tc>
          <w:tcPr>
            <w:tcW w:w="1165" w:type="dxa"/>
            <w:noWrap w:val="0"/>
            <w:vAlign w:val="top"/>
          </w:tcPr>
          <w:p w14:paraId="7B0128D5">
            <w:pPr>
              <w:pStyle w:val="5"/>
              <w:widowControl/>
            </w:pPr>
          </w:p>
        </w:tc>
        <w:tc>
          <w:tcPr>
            <w:tcW w:w="1063" w:type="dxa"/>
            <w:noWrap w:val="0"/>
            <w:vAlign w:val="top"/>
          </w:tcPr>
          <w:p w14:paraId="034C1F39">
            <w:pPr>
              <w:pStyle w:val="5"/>
              <w:widowControl/>
            </w:pPr>
          </w:p>
        </w:tc>
      </w:tr>
      <w:tr w14:paraId="090B1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540" w:type="dxa"/>
            <w:noWrap w:val="0"/>
            <w:vAlign w:val="top"/>
          </w:tcPr>
          <w:p w14:paraId="0CFA564E">
            <w:pPr>
              <w:pStyle w:val="5"/>
              <w:widowControl/>
              <w:spacing w:line="365" w:lineRule="auto"/>
            </w:pPr>
          </w:p>
          <w:p w14:paraId="2ABCBC4F">
            <w:pPr>
              <w:widowControl/>
              <w:kinsoku w:val="0"/>
              <w:autoSpaceDE w:val="0"/>
              <w:autoSpaceDN w:val="0"/>
              <w:adjustRightInd w:val="0"/>
              <w:snapToGrid w:val="0"/>
              <w:spacing w:before="80" w:line="189" w:lineRule="auto"/>
              <w:ind w:left="113"/>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3"/>
                <w:kern w:val="0"/>
                <w:sz w:val="28"/>
                <w:szCs w:val="28"/>
                <w:lang w:eastAsia="en-US"/>
              </w:rPr>
              <w:t>23</w:t>
            </w:r>
          </w:p>
        </w:tc>
        <w:tc>
          <w:tcPr>
            <w:tcW w:w="5758" w:type="dxa"/>
            <w:noWrap w:val="0"/>
            <w:vAlign w:val="top"/>
          </w:tcPr>
          <w:p w14:paraId="7381E526">
            <w:pPr>
              <w:widowControl/>
              <w:kinsoku w:val="0"/>
              <w:autoSpaceDE w:val="0"/>
              <w:autoSpaceDN w:val="0"/>
              <w:adjustRightInd w:val="0"/>
              <w:snapToGrid w:val="0"/>
              <w:spacing w:before="45" w:line="226" w:lineRule="auto"/>
              <w:ind w:left="113" w:right="103"/>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加强检验科室内质量控制，有关检验项目按要</w:t>
            </w:r>
            <w:r>
              <w:rPr>
                <w:rFonts w:ascii="仿宋" w:hAnsi="仿宋" w:eastAsia="仿宋" w:cs="仿宋"/>
                <w:snapToGrid w:val="0"/>
                <w:color w:val="000000"/>
                <w:spacing w:val="-1"/>
                <w:kern w:val="0"/>
                <w:sz w:val="28"/>
                <w:szCs w:val="28"/>
                <w:lang w:eastAsia="en-US"/>
              </w:rPr>
              <w:t>求参加相应质控中心组织开展的室间质量评价，并做好分析、整改和提升。</w:t>
            </w:r>
          </w:p>
        </w:tc>
        <w:tc>
          <w:tcPr>
            <w:tcW w:w="1165" w:type="dxa"/>
            <w:noWrap w:val="0"/>
            <w:vAlign w:val="top"/>
          </w:tcPr>
          <w:p w14:paraId="1FEECD83">
            <w:pPr>
              <w:pStyle w:val="5"/>
              <w:widowControl/>
            </w:pPr>
          </w:p>
        </w:tc>
        <w:tc>
          <w:tcPr>
            <w:tcW w:w="1063" w:type="dxa"/>
            <w:noWrap w:val="0"/>
            <w:vAlign w:val="top"/>
          </w:tcPr>
          <w:p w14:paraId="07254D8A">
            <w:pPr>
              <w:pStyle w:val="5"/>
              <w:widowControl/>
            </w:pPr>
          </w:p>
        </w:tc>
      </w:tr>
      <w:tr w14:paraId="7577E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40" w:type="dxa"/>
            <w:noWrap w:val="0"/>
            <w:vAlign w:val="top"/>
          </w:tcPr>
          <w:p w14:paraId="7C3DAC83">
            <w:pPr>
              <w:widowControl/>
              <w:kinsoku w:val="0"/>
              <w:autoSpaceDE w:val="0"/>
              <w:autoSpaceDN w:val="0"/>
              <w:adjustRightInd w:val="0"/>
              <w:snapToGrid w:val="0"/>
              <w:spacing w:before="269" w:line="189" w:lineRule="auto"/>
              <w:ind w:left="113"/>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3"/>
                <w:kern w:val="0"/>
                <w:sz w:val="28"/>
                <w:szCs w:val="28"/>
                <w:lang w:eastAsia="en-US"/>
              </w:rPr>
              <w:t>24</w:t>
            </w:r>
          </w:p>
        </w:tc>
        <w:tc>
          <w:tcPr>
            <w:tcW w:w="5758" w:type="dxa"/>
            <w:noWrap w:val="0"/>
            <w:vAlign w:val="top"/>
          </w:tcPr>
          <w:p w14:paraId="6FD207DD">
            <w:pPr>
              <w:widowControl/>
              <w:kinsoku w:val="0"/>
              <w:autoSpaceDE w:val="0"/>
              <w:autoSpaceDN w:val="0"/>
              <w:adjustRightInd w:val="0"/>
              <w:snapToGrid w:val="0"/>
              <w:spacing w:before="44" w:line="221" w:lineRule="auto"/>
              <w:ind w:left="125" w:right="103" w:hanging="3"/>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规范检验检查报告书写标准，明确报告必备要</w:t>
            </w:r>
            <w:r>
              <w:rPr>
                <w:rFonts w:ascii="仿宋" w:hAnsi="仿宋" w:eastAsia="仿宋" w:cs="仿宋"/>
                <w:snapToGrid w:val="0"/>
                <w:color w:val="000000"/>
                <w:spacing w:val="-2"/>
                <w:kern w:val="0"/>
                <w:sz w:val="28"/>
                <w:szCs w:val="28"/>
                <w:lang w:eastAsia="en-US"/>
              </w:rPr>
              <w:t>素，提升报告完整性与规范性。</w:t>
            </w:r>
          </w:p>
        </w:tc>
        <w:tc>
          <w:tcPr>
            <w:tcW w:w="1165" w:type="dxa"/>
            <w:noWrap w:val="0"/>
            <w:vAlign w:val="top"/>
          </w:tcPr>
          <w:p w14:paraId="292082D1">
            <w:pPr>
              <w:pStyle w:val="5"/>
              <w:widowControl/>
            </w:pPr>
          </w:p>
        </w:tc>
        <w:tc>
          <w:tcPr>
            <w:tcW w:w="1063" w:type="dxa"/>
            <w:noWrap w:val="0"/>
            <w:vAlign w:val="top"/>
          </w:tcPr>
          <w:p w14:paraId="19A70FE0">
            <w:pPr>
              <w:pStyle w:val="5"/>
              <w:widowControl/>
            </w:pPr>
          </w:p>
        </w:tc>
      </w:tr>
      <w:tr w14:paraId="72C9A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40" w:type="dxa"/>
            <w:noWrap w:val="0"/>
            <w:vAlign w:val="top"/>
          </w:tcPr>
          <w:p w14:paraId="3ADC2255">
            <w:pPr>
              <w:widowControl/>
              <w:kinsoku w:val="0"/>
              <w:autoSpaceDE w:val="0"/>
              <w:autoSpaceDN w:val="0"/>
              <w:adjustRightInd w:val="0"/>
              <w:snapToGrid w:val="0"/>
              <w:spacing w:before="270" w:line="189" w:lineRule="auto"/>
              <w:ind w:left="113"/>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3"/>
                <w:kern w:val="0"/>
                <w:sz w:val="28"/>
                <w:szCs w:val="28"/>
                <w:lang w:eastAsia="en-US"/>
              </w:rPr>
              <w:t>25</w:t>
            </w:r>
          </w:p>
        </w:tc>
        <w:tc>
          <w:tcPr>
            <w:tcW w:w="5758" w:type="dxa"/>
            <w:noWrap w:val="0"/>
            <w:vAlign w:val="top"/>
          </w:tcPr>
          <w:p w14:paraId="366946D8">
            <w:pPr>
              <w:widowControl/>
              <w:kinsoku w:val="0"/>
              <w:autoSpaceDE w:val="0"/>
              <w:autoSpaceDN w:val="0"/>
              <w:adjustRightInd w:val="0"/>
              <w:snapToGrid w:val="0"/>
              <w:spacing w:before="44" w:line="221" w:lineRule="auto"/>
              <w:ind w:left="122" w:right="100" w:hanging="7"/>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按照要求推动医联体内检验和检查资料共享、结果互认。</w:t>
            </w:r>
          </w:p>
        </w:tc>
        <w:tc>
          <w:tcPr>
            <w:tcW w:w="1165" w:type="dxa"/>
            <w:noWrap w:val="0"/>
            <w:vAlign w:val="top"/>
          </w:tcPr>
          <w:p w14:paraId="26C0042C">
            <w:pPr>
              <w:pStyle w:val="5"/>
              <w:widowControl/>
            </w:pPr>
          </w:p>
        </w:tc>
        <w:tc>
          <w:tcPr>
            <w:tcW w:w="1063" w:type="dxa"/>
            <w:noWrap w:val="0"/>
            <w:vAlign w:val="top"/>
          </w:tcPr>
          <w:p w14:paraId="1182F339">
            <w:pPr>
              <w:pStyle w:val="5"/>
              <w:widowControl/>
            </w:pPr>
          </w:p>
        </w:tc>
      </w:tr>
      <w:tr w14:paraId="71F36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540" w:type="dxa"/>
            <w:noWrap w:val="0"/>
            <w:vAlign w:val="top"/>
          </w:tcPr>
          <w:p w14:paraId="52A3D45E">
            <w:pPr>
              <w:widowControl/>
              <w:kinsoku w:val="0"/>
              <w:autoSpaceDE w:val="0"/>
              <w:autoSpaceDN w:val="0"/>
              <w:adjustRightInd w:val="0"/>
              <w:snapToGrid w:val="0"/>
              <w:spacing w:before="212" w:line="189" w:lineRule="auto"/>
              <w:ind w:left="113"/>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3"/>
                <w:kern w:val="0"/>
                <w:sz w:val="28"/>
                <w:szCs w:val="28"/>
                <w:lang w:eastAsia="en-US"/>
              </w:rPr>
              <w:t>26</w:t>
            </w:r>
          </w:p>
        </w:tc>
        <w:tc>
          <w:tcPr>
            <w:tcW w:w="5758" w:type="dxa"/>
            <w:noWrap w:val="0"/>
            <w:vAlign w:val="top"/>
          </w:tcPr>
          <w:p w14:paraId="24739494">
            <w:pPr>
              <w:widowControl/>
              <w:kinsoku w:val="0"/>
              <w:autoSpaceDE w:val="0"/>
              <w:autoSpaceDN w:val="0"/>
              <w:adjustRightInd w:val="0"/>
              <w:snapToGrid w:val="0"/>
              <w:spacing w:before="165" w:line="216" w:lineRule="auto"/>
              <w:ind w:left="129"/>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2"/>
                <w:kern w:val="0"/>
                <w:sz w:val="28"/>
                <w:szCs w:val="28"/>
                <w:lang w:eastAsia="en-US"/>
              </w:rPr>
              <w:t>落实检验和检查结果危急值报告制度。</w:t>
            </w:r>
          </w:p>
        </w:tc>
        <w:tc>
          <w:tcPr>
            <w:tcW w:w="1165" w:type="dxa"/>
            <w:noWrap w:val="0"/>
            <w:vAlign w:val="top"/>
          </w:tcPr>
          <w:p w14:paraId="627F3E12">
            <w:pPr>
              <w:pStyle w:val="5"/>
              <w:widowControl/>
            </w:pPr>
          </w:p>
        </w:tc>
        <w:tc>
          <w:tcPr>
            <w:tcW w:w="1063" w:type="dxa"/>
            <w:noWrap w:val="0"/>
            <w:vAlign w:val="top"/>
          </w:tcPr>
          <w:p w14:paraId="4F832662">
            <w:pPr>
              <w:pStyle w:val="5"/>
              <w:widowControl/>
            </w:pPr>
          </w:p>
        </w:tc>
      </w:tr>
      <w:tr w14:paraId="164CF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526" w:type="dxa"/>
            <w:gridSpan w:val="4"/>
            <w:noWrap w:val="0"/>
            <w:vAlign w:val="top"/>
          </w:tcPr>
          <w:p w14:paraId="65ADA17E">
            <w:pPr>
              <w:widowControl/>
              <w:kinsoku w:val="0"/>
              <w:autoSpaceDE w:val="0"/>
              <w:autoSpaceDN w:val="0"/>
              <w:adjustRightInd w:val="0"/>
              <w:snapToGrid w:val="0"/>
              <w:spacing w:before="146" w:line="222" w:lineRule="auto"/>
              <w:ind w:left="117"/>
              <w:jc w:val="left"/>
              <w:textAlignment w:val="baseline"/>
              <w:rPr>
                <w:rFonts w:ascii="楷体" w:hAnsi="楷体" w:eastAsia="楷体" w:cs="楷体"/>
                <w:snapToGrid w:val="0"/>
                <w:color w:val="000000"/>
                <w:kern w:val="0"/>
                <w:sz w:val="31"/>
                <w:szCs w:val="31"/>
                <w:lang w:eastAsia="en-US"/>
              </w:rPr>
            </w:pPr>
            <w:r>
              <w:rPr>
                <w:rFonts w:ascii="楷体" w:hAnsi="楷体" w:eastAsia="楷体" w:cs="楷体"/>
                <w:b/>
                <w:bCs/>
                <w:snapToGrid w:val="0"/>
                <w:color w:val="000000"/>
                <w:spacing w:val="6"/>
                <w:kern w:val="0"/>
                <w:sz w:val="31"/>
                <w:szCs w:val="31"/>
                <w:lang w:eastAsia="en-US"/>
              </w:rPr>
              <w:t>七、改进护理服务质量</w:t>
            </w:r>
          </w:p>
        </w:tc>
      </w:tr>
      <w:tr w14:paraId="3167D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40" w:type="dxa"/>
            <w:noWrap w:val="0"/>
            <w:vAlign w:val="top"/>
          </w:tcPr>
          <w:p w14:paraId="664C378D">
            <w:pPr>
              <w:widowControl/>
              <w:kinsoku w:val="0"/>
              <w:autoSpaceDE w:val="0"/>
              <w:autoSpaceDN w:val="0"/>
              <w:adjustRightInd w:val="0"/>
              <w:snapToGrid w:val="0"/>
              <w:spacing w:before="269" w:line="189" w:lineRule="auto"/>
              <w:ind w:left="113"/>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3"/>
                <w:kern w:val="0"/>
                <w:sz w:val="28"/>
                <w:szCs w:val="28"/>
                <w:lang w:eastAsia="en-US"/>
              </w:rPr>
              <w:t>27</w:t>
            </w:r>
          </w:p>
        </w:tc>
        <w:tc>
          <w:tcPr>
            <w:tcW w:w="5758" w:type="dxa"/>
            <w:noWrap w:val="0"/>
            <w:vAlign w:val="top"/>
          </w:tcPr>
          <w:p w14:paraId="59B512ED">
            <w:pPr>
              <w:widowControl/>
              <w:kinsoku w:val="0"/>
              <w:autoSpaceDE w:val="0"/>
              <w:autoSpaceDN w:val="0"/>
              <w:adjustRightInd w:val="0"/>
              <w:snapToGrid w:val="0"/>
              <w:spacing w:before="41" w:line="222" w:lineRule="auto"/>
              <w:ind w:left="114" w:right="103" w:hanging="1"/>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进一步落实责任制整体护理，明确责任护士全</w:t>
            </w:r>
            <w:r>
              <w:rPr>
                <w:rFonts w:ascii="仿宋" w:hAnsi="仿宋" w:eastAsia="仿宋" w:cs="仿宋"/>
                <w:snapToGrid w:val="0"/>
                <w:color w:val="000000"/>
                <w:spacing w:val="-2"/>
                <w:kern w:val="0"/>
                <w:sz w:val="28"/>
                <w:szCs w:val="28"/>
                <w:lang w:eastAsia="en-US"/>
              </w:rPr>
              <w:t>流程护理职责。</w:t>
            </w:r>
          </w:p>
        </w:tc>
        <w:tc>
          <w:tcPr>
            <w:tcW w:w="1165" w:type="dxa"/>
            <w:noWrap w:val="0"/>
            <w:vAlign w:val="top"/>
          </w:tcPr>
          <w:p w14:paraId="0F6B3758">
            <w:pPr>
              <w:pStyle w:val="5"/>
              <w:widowControl/>
            </w:pPr>
          </w:p>
        </w:tc>
        <w:tc>
          <w:tcPr>
            <w:tcW w:w="1063" w:type="dxa"/>
            <w:noWrap w:val="0"/>
            <w:vAlign w:val="top"/>
          </w:tcPr>
          <w:p w14:paraId="2B2E4815">
            <w:pPr>
              <w:pStyle w:val="5"/>
              <w:widowControl/>
            </w:pPr>
          </w:p>
        </w:tc>
      </w:tr>
      <w:tr w14:paraId="242F7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40" w:type="dxa"/>
            <w:noWrap w:val="0"/>
            <w:vAlign w:val="top"/>
          </w:tcPr>
          <w:p w14:paraId="579046E4">
            <w:pPr>
              <w:widowControl/>
              <w:kinsoku w:val="0"/>
              <w:autoSpaceDE w:val="0"/>
              <w:autoSpaceDN w:val="0"/>
              <w:adjustRightInd w:val="0"/>
              <w:snapToGrid w:val="0"/>
              <w:spacing w:before="269" w:line="189" w:lineRule="auto"/>
              <w:ind w:left="113"/>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3"/>
                <w:kern w:val="0"/>
                <w:sz w:val="28"/>
                <w:szCs w:val="28"/>
                <w:lang w:eastAsia="en-US"/>
              </w:rPr>
              <w:t>28</w:t>
            </w:r>
          </w:p>
        </w:tc>
        <w:tc>
          <w:tcPr>
            <w:tcW w:w="5758" w:type="dxa"/>
            <w:noWrap w:val="0"/>
            <w:vAlign w:val="top"/>
          </w:tcPr>
          <w:p w14:paraId="4EB15A81">
            <w:pPr>
              <w:widowControl/>
              <w:kinsoku w:val="0"/>
              <w:autoSpaceDE w:val="0"/>
              <w:autoSpaceDN w:val="0"/>
              <w:adjustRightInd w:val="0"/>
              <w:snapToGrid w:val="0"/>
              <w:spacing w:before="44" w:line="221" w:lineRule="auto"/>
              <w:ind w:left="128" w:right="103" w:hanging="13"/>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按照加强护理工作的有关要求，不断完善并落实护理工作制度。</w:t>
            </w:r>
          </w:p>
        </w:tc>
        <w:tc>
          <w:tcPr>
            <w:tcW w:w="1165" w:type="dxa"/>
            <w:noWrap w:val="0"/>
            <w:vAlign w:val="top"/>
          </w:tcPr>
          <w:p w14:paraId="275B0557">
            <w:pPr>
              <w:pStyle w:val="5"/>
              <w:widowControl/>
            </w:pPr>
          </w:p>
        </w:tc>
        <w:tc>
          <w:tcPr>
            <w:tcW w:w="1063" w:type="dxa"/>
            <w:noWrap w:val="0"/>
            <w:vAlign w:val="top"/>
          </w:tcPr>
          <w:p w14:paraId="0D47C97E">
            <w:pPr>
              <w:pStyle w:val="5"/>
              <w:widowControl/>
            </w:pPr>
          </w:p>
        </w:tc>
      </w:tr>
      <w:tr w14:paraId="7BF43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540" w:type="dxa"/>
            <w:noWrap w:val="0"/>
            <w:vAlign w:val="top"/>
          </w:tcPr>
          <w:p w14:paraId="73AFE3BA">
            <w:pPr>
              <w:pStyle w:val="5"/>
              <w:widowControl/>
              <w:spacing w:line="366" w:lineRule="auto"/>
            </w:pPr>
          </w:p>
          <w:p w14:paraId="060DA5E3">
            <w:pPr>
              <w:widowControl/>
              <w:kinsoku w:val="0"/>
              <w:autoSpaceDE w:val="0"/>
              <w:autoSpaceDN w:val="0"/>
              <w:adjustRightInd w:val="0"/>
              <w:snapToGrid w:val="0"/>
              <w:spacing w:before="80" w:line="189" w:lineRule="auto"/>
              <w:ind w:left="113"/>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3"/>
                <w:kern w:val="0"/>
                <w:sz w:val="28"/>
                <w:szCs w:val="28"/>
                <w:lang w:eastAsia="en-US"/>
              </w:rPr>
              <w:t>29</w:t>
            </w:r>
          </w:p>
        </w:tc>
        <w:tc>
          <w:tcPr>
            <w:tcW w:w="5758" w:type="dxa"/>
            <w:noWrap w:val="0"/>
            <w:vAlign w:val="top"/>
          </w:tcPr>
          <w:p w14:paraId="1B796C63">
            <w:pPr>
              <w:widowControl/>
              <w:kinsoku w:val="0"/>
              <w:autoSpaceDE w:val="0"/>
              <w:autoSpaceDN w:val="0"/>
              <w:adjustRightInd w:val="0"/>
              <w:snapToGrid w:val="0"/>
              <w:spacing w:before="45" w:line="226" w:lineRule="auto"/>
              <w:ind w:left="111" w:right="28" w:hanging="3"/>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3"/>
                <w:kern w:val="0"/>
                <w:sz w:val="28"/>
                <w:szCs w:val="28"/>
                <w:lang w:eastAsia="en-US"/>
              </w:rPr>
              <w:t>严格落实分级护理、查对、交接班等核心制度，</w:t>
            </w:r>
            <w:r>
              <w:rPr>
                <w:rFonts w:ascii="仿宋" w:hAnsi="仿宋" w:eastAsia="仿宋" w:cs="仿宋"/>
                <w:snapToGrid w:val="0"/>
                <w:color w:val="000000"/>
                <w:spacing w:val="-4"/>
                <w:kern w:val="0"/>
                <w:sz w:val="28"/>
                <w:szCs w:val="28"/>
                <w:lang w:eastAsia="en-US"/>
              </w:rPr>
              <w:t>规范临床护理技术操作，确保符合指南与技术</w:t>
            </w:r>
            <w:r>
              <w:rPr>
                <w:rFonts w:ascii="仿宋" w:hAnsi="仿宋" w:eastAsia="仿宋" w:cs="仿宋"/>
                <w:snapToGrid w:val="0"/>
                <w:color w:val="000000"/>
                <w:spacing w:val="-3"/>
                <w:kern w:val="0"/>
                <w:sz w:val="28"/>
                <w:szCs w:val="28"/>
                <w:lang w:eastAsia="en-US"/>
              </w:rPr>
              <w:t>标准。</w:t>
            </w:r>
          </w:p>
        </w:tc>
        <w:tc>
          <w:tcPr>
            <w:tcW w:w="1165" w:type="dxa"/>
            <w:noWrap w:val="0"/>
            <w:vAlign w:val="top"/>
          </w:tcPr>
          <w:p w14:paraId="62900313">
            <w:pPr>
              <w:pStyle w:val="5"/>
              <w:widowControl/>
            </w:pPr>
          </w:p>
        </w:tc>
        <w:tc>
          <w:tcPr>
            <w:tcW w:w="1063" w:type="dxa"/>
            <w:noWrap w:val="0"/>
            <w:vAlign w:val="top"/>
          </w:tcPr>
          <w:p w14:paraId="2F9776DA">
            <w:pPr>
              <w:pStyle w:val="5"/>
              <w:widowControl/>
            </w:pPr>
          </w:p>
        </w:tc>
      </w:tr>
      <w:tr w14:paraId="051BA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40" w:type="dxa"/>
            <w:noWrap w:val="0"/>
            <w:vAlign w:val="top"/>
          </w:tcPr>
          <w:p w14:paraId="752360FD">
            <w:pPr>
              <w:widowControl/>
              <w:kinsoku w:val="0"/>
              <w:autoSpaceDE w:val="0"/>
              <w:autoSpaceDN w:val="0"/>
              <w:adjustRightInd w:val="0"/>
              <w:snapToGrid w:val="0"/>
              <w:spacing w:before="271" w:line="189" w:lineRule="auto"/>
              <w:ind w:left="119"/>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6"/>
                <w:kern w:val="0"/>
                <w:sz w:val="28"/>
                <w:szCs w:val="28"/>
                <w:lang w:eastAsia="en-US"/>
              </w:rPr>
              <w:t>30</w:t>
            </w:r>
          </w:p>
        </w:tc>
        <w:tc>
          <w:tcPr>
            <w:tcW w:w="5758" w:type="dxa"/>
            <w:noWrap w:val="0"/>
            <w:vAlign w:val="top"/>
          </w:tcPr>
          <w:p w14:paraId="3E9B39E2">
            <w:pPr>
              <w:widowControl/>
              <w:kinsoku w:val="0"/>
              <w:autoSpaceDE w:val="0"/>
              <w:autoSpaceDN w:val="0"/>
              <w:adjustRightInd w:val="0"/>
              <w:snapToGrid w:val="0"/>
              <w:spacing w:before="44" w:line="221" w:lineRule="auto"/>
              <w:ind w:left="117" w:right="100" w:hanging="6"/>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建立护理不良事件报告制度，及时做好分析、</w:t>
            </w:r>
            <w:r>
              <w:rPr>
                <w:rFonts w:ascii="仿宋" w:hAnsi="仿宋" w:eastAsia="仿宋" w:cs="仿宋"/>
                <w:snapToGrid w:val="0"/>
                <w:color w:val="000000"/>
                <w:spacing w:val="-5"/>
                <w:kern w:val="0"/>
                <w:sz w:val="28"/>
                <w:szCs w:val="28"/>
                <w:lang w:eastAsia="en-US"/>
              </w:rPr>
              <w:t>整改。</w:t>
            </w:r>
          </w:p>
        </w:tc>
        <w:tc>
          <w:tcPr>
            <w:tcW w:w="1165" w:type="dxa"/>
            <w:noWrap w:val="0"/>
            <w:vAlign w:val="top"/>
          </w:tcPr>
          <w:p w14:paraId="5A7BBC50">
            <w:pPr>
              <w:pStyle w:val="5"/>
              <w:widowControl/>
            </w:pPr>
          </w:p>
        </w:tc>
        <w:tc>
          <w:tcPr>
            <w:tcW w:w="1063" w:type="dxa"/>
            <w:noWrap w:val="0"/>
            <w:vAlign w:val="top"/>
          </w:tcPr>
          <w:p w14:paraId="2769DC13">
            <w:pPr>
              <w:pStyle w:val="5"/>
              <w:widowControl/>
            </w:pPr>
          </w:p>
        </w:tc>
      </w:tr>
      <w:tr w14:paraId="36A0C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526" w:type="dxa"/>
            <w:gridSpan w:val="4"/>
            <w:noWrap w:val="0"/>
            <w:vAlign w:val="top"/>
          </w:tcPr>
          <w:p w14:paraId="0C468484">
            <w:pPr>
              <w:widowControl/>
              <w:kinsoku w:val="0"/>
              <w:autoSpaceDE w:val="0"/>
              <w:autoSpaceDN w:val="0"/>
              <w:adjustRightInd w:val="0"/>
              <w:snapToGrid w:val="0"/>
              <w:spacing w:before="148" w:line="222" w:lineRule="auto"/>
              <w:ind w:left="116"/>
              <w:jc w:val="left"/>
              <w:textAlignment w:val="baseline"/>
              <w:rPr>
                <w:rFonts w:ascii="楷体" w:hAnsi="楷体" w:eastAsia="楷体" w:cs="楷体"/>
                <w:snapToGrid w:val="0"/>
                <w:color w:val="000000"/>
                <w:kern w:val="0"/>
                <w:sz w:val="31"/>
                <w:szCs w:val="31"/>
                <w:lang w:eastAsia="en-US"/>
              </w:rPr>
            </w:pPr>
            <w:r>
              <w:rPr>
                <w:rFonts w:ascii="楷体" w:hAnsi="楷体" w:eastAsia="楷体" w:cs="楷体"/>
                <w:b/>
                <w:bCs/>
                <w:snapToGrid w:val="0"/>
                <w:color w:val="000000"/>
                <w:spacing w:val="6"/>
                <w:kern w:val="0"/>
                <w:sz w:val="31"/>
                <w:szCs w:val="31"/>
                <w:lang w:eastAsia="en-US"/>
              </w:rPr>
              <w:t>八、加强医院感染控制</w:t>
            </w:r>
          </w:p>
        </w:tc>
      </w:tr>
      <w:tr w14:paraId="38F74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540" w:type="dxa"/>
            <w:noWrap w:val="0"/>
            <w:vAlign w:val="top"/>
          </w:tcPr>
          <w:p w14:paraId="019A2EF2">
            <w:pPr>
              <w:pStyle w:val="5"/>
              <w:widowControl/>
              <w:spacing w:line="273" w:lineRule="auto"/>
            </w:pPr>
          </w:p>
          <w:p w14:paraId="34D1378B">
            <w:pPr>
              <w:pStyle w:val="5"/>
              <w:widowControl/>
              <w:spacing w:line="274" w:lineRule="auto"/>
            </w:pPr>
          </w:p>
          <w:p w14:paraId="1654E950">
            <w:pPr>
              <w:widowControl/>
              <w:kinsoku w:val="0"/>
              <w:autoSpaceDE w:val="0"/>
              <w:autoSpaceDN w:val="0"/>
              <w:adjustRightInd w:val="0"/>
              <w:snapToGrid w:val="0"/>
              <w:spacing w:before="80" w:line="189" w:lineRule="auto"/>
              <w:ind w:left="119"/>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6"/>
                <w:kern w:val="0"/>
                <w:sz w:val="28"/>
                <w:szCs w:val="28"/>
                <w:lang w:eastAsia="en-US"/>
              </w:rPr>
              <w:t>31</w:t>
            </w:r>
          </w:p>
        </w:tc>
        <w:tc>
          <w:tcPr>
            <w:tcW w:w="5758" w:type="dxa"/>
            <w:noWrap w:val="0"/>
            <w:vAlign w:val="top"/>
          </w:tcPr>
          <w:p w14:paraId="32A5E557">
            <w:pPr>
              <w:widowControl/>
              <w:kinsoku w:val="0"/>
              <w:autoSpaceDE w:val="0"/>
              <w:autoSpaceDN w:val="0"/>
              <w:adjustRightInd w:val="0"/>
              <w:snapToGrid w:val="0"/>
              <w:spacing w:before="44" w:line="229" w:lineRule="auto"/>
              <w:ind w:left="116" w:right="103" w:hanging="8"/>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严格执行清洁消毒与灭菌、手卫生、无菌操作</w:t>
            </w:r>
            <w:r>
              <w:rPr>
                <w:rFonts w:ascii="仿宋" w:hAnsi="仿宋" w:eastAsia="仿宋" w:cs="仿宋"/>
                <w:snapToGrid w:val="0"/>
                <w:color w:val="000000"/>
                <w:spacing w:val="-4"/>
                <w:kern w:val="0"/>
                <w:sz w:val="28"/>
                <w:szCs w:val="28"/>
                <w:lang w:eastAsia="en-US"/>
              </w:rPr>
              <w:t>与隔离技术规范、医源性感染与监测、医源性</w:t>
            </w:r>
            <w:r>
              <w:rPr>
                <w:rFonts w:ascii="仿宋" w:hAnsi="仿宋" w:eastAsia="仿宋" w:cs="仿宋"/>
                <w:snapToGrid w:val="0"/>
                <w:color w:val="000000"/>
                <w:spacing w:val="-1"/>
                <w:kern w:val="0"/>
                <w:sz w:val="28"/>
                <w:szCs w:val="28"/>
                <w:lang w:eastAsia="en-US"/>
              </w:rPr>
              <w:t>感染暴发报告制度与处置流程等医院感染管</w:t>
            </w:r>
            <w:r>
              <w:rPr>
                <w:rFonts w:ascii="仿宋" w:hAnsi="仿宋" w:eastAsia="仿宋" w:cs="仿宋"/>
                <w:snapToGrid w:val="0"/>
                <w:color w:val="000000"/>
                <w:spacing w:val="-2"/>
                <w:kern w:val="0"/>
                <w:sz w:val="28"/>
                <w:szCs w:val="28"/>
                <w:lang w:eastAsia="en-US"/>
              </w:rPr>
              <w:t>理制度规范与标准。</w:t>
            </w:r>
          </w:p>
        </w:tc>
        <w:tc>
          <w:tcPr>
            <w:tcW w:w="1165" w:type="dxa"/>
            <w:noWrap w:val="0"/>
            <w:vAlign w:val="top"/>
          </w:tcPr>
          <w:p w14:paraId="3FB7D2D4">
            <w:pPr>
              <w:pStyle w:val="5"/>
              <w:widowControl/>
            </w:pPr>
          </w:p>
        </w:tc>
        <w:tc>
          <w:tcPr>
            <w:tcW w:w="1063" w:type="dxa"/>
            <w:noWrap w:val="0"/>
            <w:vAlign w:val="top"/>
          </w:tcPr>
          <w:p w14:paraId="3A4E321B">
            <w:pPr>
              <w:pStyle w:val="5"/>
              <w:widowControl/>
            </w:pPr>
          </w:p>
        </w:tc>
      </w:tr>
      <w:tr w14:paraId="4F3E3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540" w:type="dxa"/>
            <w:noWrap w:val="0"/>
            <w:vAlign w:val="top"/>
          </w:tcPr>
          <w:p w14:paraId="3C0CAA9D">
            <w:pPr>
              <w:pStyle w:val="5"/>
              <w:widowControl/>
              <w:spacing w:line="369" w:lineRule="auto"/>
            </w:pPr>
          </w:p>
          <w:p w14:paraId="0534E671">
            <w:pPr>
              <w:widowControl/>
              <w:kinsoku w:val="0"/>
              <w:autoSpaceDE w:val="0"/>
              <w:autoSpaceDN w:val="0"/>
              <w:adjustRightInd w:val="0"/>
              <w:snapToGrid w:val="0"/>
              <w:spacing w:before="80" w:line="189" w:lineRule="auto"/>
              <w:ind w:left="119"/>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6"/>
                <w:kern w:val="0"/>
                <w:sz w:val="28"/>
                <w:szCs w:val="28"/>
                <w:lang w:eastAsia="en-US"/>
              </w:rPr>
              <w:t>32</w:t>
            </w:r>
          </w:p>
        </w:tc>
        <w:tc>
          <w:tcPr>
            <w:tcW w:w="5758" w:type="dxa"/>
            <w:noWrap w:val="0"/>
            <w:vAlign w:val="top"/>
          </w:tcPr>
          <w:p w14:paraId="6A38B2BF">
            <w:pPr>
              <w:widowControl/>
              <w:kinsoku w:val="0"/>
              <w:autoSpaceDE w:val="0"/>
              <w:autoSpaceDN w:val="0"/>
              <w:adjustRightInd w:val="0"/>
              <w:snapToGrid w:val="0"/>
              <w:spacing w:before="45" w:line="226" w:lineRule="auto"/>
              <w:ind w:left="111" w:right="112" w:firstLine="17"/>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5"/>
                <w:kern w:val="0"/>
                <w:sz w:val="28"/>
                <w:szCs w:val="28"/>
                <w:lang w:eastAsia="en-US"/>
              </w:rPr>
              <w:t>落实医疗废物分类收集、集中转运处置要求，</w:t>
            </w:r>
            <w:r>
              <w:rPr>
                <w:rFonts w:ascii="仿宋" w:hAnsi="仿宋" w:eastAsia="仿宋" w:cs="仿宋"/>
                <w:snapToGrid w:val="0"/>
                <w:color w:val="000000"/>
                <w:spacing w:val="-1"/>
                <w:kern w:val="0"/>
                <w:sz w:val="28"/>
                <w:szCs w:val="28"/>
                <w:lang w:eastAsia="en-US"/>
              </w:rPr>
              <w:t>建立一次性医疗器械使用台账，严禁重复使</w:t>
            </w:r>
            <w:r>
              <w:rPr>
                <w:rFonts w:ascii="仿宋" w:hAnsi="仿宋" w:eastAsia="仿宋" w:cs="仿宋"/>
                <w:snapToGrid w:val="0"/>
                <w:color w:val="000000"/>
                <w:spacing w:val="-4"/>
                <w:kern w:val="0"/>
                <w:sz w:val="28"/>
                <w:szCs w:val="28"/>
                <w:lang w:eastAsia="en-US"/>
              </w:rPr>
              <w:t>用。</w:t>
            </w:r>
          </w:p>
        </w:tc>
        <w:tc>
          <w:tcPr>
            <w:tcW w:w="1165" w:type="dxa"/>
            <w:noWrap w:val="0"/>
            <w:vAlign w:val="top"/>
          </w:tcPr>
          <w:p w14:paraId="5371BF18">
            <w:pPr>
              <w:pStyle w:val="5"/>
              <w:widowControl/>
            </w:pPr>
          </w:p>
        </w:tc>
        <w:tc>
          <w:tcPr>
            <w:tcW w:w="1063" w:type="dxa"/>
            <w:noWrap w:val="0"/>
            <w:vAlign w:val="top"/>
          </w:tcPr>
          <w:p w14:paraId="6CF6728B">
            <w:pPr>
              <w:pStyle w:val="5"/>
              <w:widowControl/>
            </w:pPr>
          </w:p>
        </w:tc>
      </w:tr>
      <w:tr w14:paraId="77A80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6298" w:type="dxa"/>
            <w:gridSpan w:val="2"/>
            <w:noWrap w:val="0"/>
            <w:vAlign w:val="top"/>
          </w:tcPr>
          <w:p w14:paraId="57677775">
            <w:pPr>
              <w:widowControl/>
              <w:kinsoku w:val="0"/>
              <w:autoSpaceDE w:val="0"/>
              <w:autoSpaceDN w:val="0"/>
              <w:adjustRightInd w:val="0"/>
              <w:snapToGrid w:val="0"/>
              <w:spacing w:before="151" w:line="222" w:lineRule="auto"/>
              <w:ind w:left="121"/>
              <w:jc w:val="left"/>
              <w:textAlignment w:val="baseline"/>
              <w:rPr>
                <w:rFonts w:ascii="楷体" w:hAnsi="楷体" w:eastAsia="楷体" w:cs="楷体"/>
                <w:snapToGrid w:val="0"/>
                <w:color w:val="000000"/>
                <w:kern w:val="0"/>
                <w:sz w:val="31"/>
                <w:szCs w:val="31"/>
                <w:lang w:eastAsia="en-US"/>
              </w:rPr>
            </w:pPr>
            <w:r>
              <w:rPr>
                <w:rFonts w:ascii="楷体" w:hAnsi="楷体" w:eastAsia="楷体" w:cs="楷体"/>
                <w:b/>
                <w:bCs/>
                <w:snapToGrid w:val="0"/>
                <w:color w:val="000000"/>
                <w:spacing w:val="6"/>
                <w:kern w:val="0"/>
                <w:sz w:val="31"/>
                <w:szCs w:val="31"/>
                <w:lang w:eastAsia="en-US"/>
              </w:rPr>
              <w:t>九、改善住院和手术质量</w:t>
            </w:r>
          </w:p>
        </w:tc>
        <w:tc>
          <w:tcPr>
            <w:tcW w:w="1165" w:type="dxa"/>
            <w:noWrap w:val="0"/>
            <w:vAlign w:val="top"/>
          </w:tcPr>
          <w:p w14:paraId="47704EE6">
            <w:pPr>
              <w:pStyle w:val="5"/>
              <w:widowControl/>
            </w:pPr>
          </w:p>
        </w:tc>
        <w:tc>
          <w:tcPr>
            <w:tcW w:w="1063" w:type="dxa"/>
            <w:noWrap w:val="0"/>
            <w:vAlign w:val="top"/>
          </w:tcPr>
          <w:p w14:paraId="557EFC34">
            <w:pPr>
              <w:pStyle w:val="5"/>
              <w:widowControl/>
            </w:pPr>
          </w:p>
        </w:tc>
      </w:tr>
      <w:tr w14:paraId="6CB48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540" w:type="dxa"/>
            <w:noWrap w:val="0"/>
            <w:vAlign w:val="top"/>
          </w:tcPr>
          <w:p w14:paraId="13656853">
            <w:pPr>
              <w:pStyle w:val="5"/>
              <w:widowControl/>
              <w:spacing w:line="369" w:lineRule="auto"/>
            </w:pPr>
          </w:p>
          <w:p w14:paraId="0563CD78">
            <w:pPr>
              <w:widowControl/>
              <w:kinsoku w:val="0"/>
              <w:autoSpaceDE w:val="0"/>
              <w:autoSpaceDN w:val="0"/>
              <w:adjustRightInd w:val="0"/>
              <w:snapToGrid w:val="0"/>
              <w:spacing w:before="80" w:line="189" w:lineRule="auto"/>
              <w:ind w:left="119"/>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6"/>
                <w:kern w:val="0"/>
                <w:sz w:val="28"/>
                <w:szCs w:val="28"/>
                <w:lang w:eastAsia="en-US"/>
              </w:rPr>
              <w:t>33</w:t>
            </w:r>
          </w:p>
        </w:tc>
        <w:tc>
          <w:tcPr>
            <w:tcW w:w="5758" w:type="dxa"/>
            <w:noWrap w:val="0"/>
            <w:vAlign w:val="top"/>
          </w:tcPr>
          <w:p w14:paraId="5F928A4A">
            <w:pPr>
              <w:widowControl/>
              <w:kinsoku w:val="0"/>
              <w:autoSpaceDE w:val="0"/>
              <w:autoSpaceDN w:val="0"/>
              <w:adjustRightInd w:val="0"/>
              <w:snapToGrid w:val="0"/>
              <w:spacing w:before="45" w:line="226" w:lineRule="auto"/>
              <w:ind w:left="128" w:right="103" w:hanging="17"/>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
                <w:kern w:val="0"/>
                <w:sz w:val="28"/>
                <w:szCs w:val="28"/>
                <w:lang w:eastAsia="en-US"/>
              </w:rPr>
              <w:t>提供住院和手术服务的基层医疗卫生机构规</w:t>
            </w:r>
            <w:r>
              <w:rPr>
                <w:rFonts w:ascii="仿宋" w:hAnsi="仿宋" w:eastAsia="仿宋" w:cs="仿宋"/>
                <w:snapToGrid w:val="0"/>
                <w:color w:val="000000"/>
                <w:spacing w:val="-4"/>
                <w:kern w:val="0"/>
                <w:sz w:val="28"/>
                <w:szCs w:val="28"/>
                <w:lang w:eastAsia="en-US"/>
              </w:rPr>
              <w:t>范住院诊疗行为，严格遵循临床路径和诊疗指</w:t>
            </w:r>
            <w:r>
              <w:rPr>
                <w:rFonts w:ascii="仿宋" w:hAnsi="仿宋" w:eastAsia="仿宋" w:cs="仿宋"/>
                <w:snapToGrid w:val="0"/>
                <w:color w:val="000000"/>
                <w:spacing w:val="-2"/>
                <w:kern w:val="0"/>
                <w:sz w:val="28"/>
                <w:szCs w:val="28"/>
                <w:lang w:eastAsia="en-US"/>
              </w:rPr>
              <w:t>南，合理制订个性化诊疗方案。</w:t>
            </w:r>
          </w:p>
        </w:tc>
        <w:tc>
          <w:tcPr>
            <w:tcW w:w="1165" w:type="dxa"/>
            <w:noWrap w:val="0"/>
            <w:vAlign w:val="top"/>
          </w:tcPr>
          <w:p w14:paraId="53C7712E">
            <w:pPr>
              <w:pStyle w:val="5"/>
              <w:widowControl/>
            </w:pPr>
          </w:p>
        </w:tc>
        <w:tc>
          <w:tcPr>
            <w:tcW w:w="1063" w:type="dxa"/>
            <w:noWrap w:val="0"/>
            <w:vAlign w:val="top"/>
          </w:tcPr>
          <w:p w14:paraId="483CED47">
            <w:pPr>
              <w:pStyle w:val="5"/>
              <w:widowControl/>
            </w:pPr>
          </w:p>
        </w:tc>
      </w:tr>
      <w:tr w14:paraId="75A5F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540" w:type="dxa"/>
            <w:noWrap w:val="0"/>
            <w:vAlign w:val="top"/>
          </w:tcPr>
          <w:p w14:paraId="4A861FA7">
            <w:pPr>
              <w:widowControl/>
              <w:kinsoku w:val="0"/>
              <w:autoSpaceDE w:val="0"/>
              <w:autoSpaceDN w:val="0"/>
              <w:adjustRightInd w:val="0"/>
              <w:snapToGrid w:val="0"/>
              <w:spacing w:before="92" w:line="189" w:lineRule="auto"/>
              <w:ind w:left="119"/>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6"/>
                <w:kern w:val="0"/>
                <w:sz w:val="28"/>
                <w:szCs w:val="28"/>
                <w:lang w:eastAsia="en-US"/>
              </w:rPr>
              <w:t>34</w:t>
            </w:r>
          </w:p>
        </w:tc>
        <w:tc>
          <w:tcPr>
            <w:tcW w:w="5758" w:type="dxa"/>
            <w:noWrap w:val="0"/>
            <w:vAlign w:val="top"/>
          </w:tcPr>
          <w:p w14:paraId="01508268">
            <w:pPr>
              <w:widowControl/>
              <w:kinsoku w:val="0"/>
              <w:autoSpaceDE w:val="0"/>
              <w:autoSpaceDN w:val="0"/>
              <w:adjustRightInd w:val="0"/>
              <w:snapToGrid w:val="0"/>
              <w:spacing w:before="48" w:line="204" w:lineRule="auto"/>
              <w:ind w:left="108"/>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严格落实住院查房制度，明确查房频次、形式</w:t>
            </w:r>
          </w:p>
        </w:tc>
        <w:tc>
          <w:tcPr>
            <w:tcW w:w="1165" w:type="dxa"/>
            <w:noWrap w:val="0"/>
            <w:vAlign w:val="top"/>
          </w:tcPr>
          <w:p w14:paraId="5E368A06">
            <w:pPr>
              <w:pStyle w:val="5"/>
              <w:widowControl/>
            </w:pPr>
          </w:p>
        </w:tc>
        <w:tc>
          <w:tcPr>
            <w:tcW w:w="1063" w:type="dxa"/>
            <w:noWrap w:val="0"/>
            <w:vAlign w:val="top"/>
          </w:tcPr>
          <w:p w14:paraId="2CAA675B">
            <w:pPr>
              <w:pStyle w:val="5"/>
              <w:widowControl/>
            </w:pPr>
          </w:p>
        </w:tc>
      </w:tr>
    </w:tbl>
    <w:p w14:paraId="3F26198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p w14:paraId="264BF4A9">
      <w:pPr>
        <w:rPr>
          <w:rFonts w:ascii="Arial" w:hAnsi="Arial" w:eastAsia="Arial" w:cs="Arial"/>
          <w:sz w:val="21"/>
          <w:szCs w:val="21"/>
        </w:rPr>
        <w:sectPr>
          <w:pgSz w:w="11906" w:h="16839"/>
          <w:pgMar w:top="1431" w:right="1687" w:bottom="0" w:left="1687" w:header="0" w:footer="0" w:gutter="0"/>
          <w:cols w:space="720" w:num="1"/>
        </w:sectPr>
      </w:pPr>
    </w:p>
    <w:p w14:paraId="21B0D0C2">
      <w:pPr>
        <w:widowControl/>
        <w:kinsoku w:val="0"/>
        <w:autoSpaceDE w:val="0"/>
        <w:autoSpaceDN w:val="0"/>
        <w:adjustRightInd w:val="0"/>
        <w:snapToGrid w:val="0"/>
        <w:spacing w:line="91" w:lineRule="auto"/>
        <w:jc w:val="left"/>
        <w:textAlignment w:val="baseline"/>
        <w:rPr>
          <w:rFonts w:ascii="Arial" w:hAnsi="Arial" w:eastAsia="Arial" w:cs="Arial"/>
          <w:snapToGrid w:val="0"/>
          <w:color w:val="000000"/>
          <w:kern w:val="0"/>
          <w:sz w:val="2"/>
          <w:szCs w:val="21"/>
          <w:lang w:eastAsia="en-US"/>
        </w:rPr>
      </w:pPr>
    </w:p>
    <w:tbl>
      <w:tblPr>
        <w:tblStyle w:val="4"/>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0"/>
        <w:gridCol w:w="5758"/>
        <w:gridCol w:w="1165"/>
        <w:gridCol w:w="1063"/>
      </w:tblGrid>
      <w:tr w14:paraId="70444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540" w:type="dxa"/>
            <w:noWrap w:val="0"/>
            <w:vAlign w:val="top"/>
          </w:tcPr>
          <w:p w14:paraId="44C0D695">
            <w:pPr>
              <w:pStyle w:val="5"/>
              <w:widowControl/>
            </w:pPr>
          </w:p>
        </w:tc>
        <w:tc>
          <w:tcPr>
            <w:tcW w:w="5758" w:type="dxa"/>
            <w:noWrap w:val="0"/>
            <w:vAlign w:val="top"/>
          </w:tcPr>
          <w:p w14:paraId="7455CF91">
            <w:pPr>
              <w:widowControl/>
              <w:kinsoku w:val="0"/>
              <w:autoSpaceDE w:val="0"/>
              <w:autoSpaceDN w:val="0"/>
              <w:adjustRightInd w:val="0"/>
              <w:snapToGrid w:val="0"/>
              <w:spacing w:before="46" w:line="227" w:lineRule="auto"/>
              <w:ind w:left="116" w:right="103" w:hanging="6"/>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及记录要求，保障查房质量；倡导由医联体牵</w:t>
            </w:r>
            <w:r>
              <w:rPr>
                <w:rFonts w:ascii="仿宋" w:hAnsi="仿宋" w:eastAsia="仿宋" w:cs="仿宋"/>
                <w:snapToGrid w:val="0"/>
                <w:color w:val="000000"/>
                <w:spacing w:val="-1"/>
                <w:kern w:val="0"/>
                <w:sz w:val="28"/>
                <w:szCs w:val="28"/>
                <w:lang w:eastAsia="en-US"/>
              </w:rPr>
              <w:t>头医院开展联合查房，解决疑难病例诊疗问</w:t>
            </w:r>
            <w:r>
              <w:rPr>
                <w:rFonts w:ascii="仿宋" w:hAnsi="仿宋" w:eastAsia="仿宋" w:cs="仿宋"/>
                <w:snapToGrid w:val="0"/>
                <w:color w:val="000000"/>
                <w:spacing w:val="-2"/>
                <w:kern w:val="0"/>
                <w:sz w:val="28"/>
                <w:szCs w:val="28"/>
                <w:lang w:eastAsia="en-US"/>
              </w:rPr>
              <w:t>题，针对性调整诊疗方案。</w:t>
            </w:r>
          </w:p>
        </w:tc>
        <w:tc>
          <w:tcPr>
            <w:tcW w:w="1165" w:type="dxa"/>
            <w:noWrap w:val="0"/>
            <w:vAlign w:val="top"/>
          </w:tcPr>
          <w:p w14:paraId="0B78C04D">
            <w:pPr>
              <w:pStyle w:val="5"/>
              <w:widowControl/>
            </w:pPr>
          </w:p>
        </w:tc>
        <w:tc>
          <w:tcPr>
            <w:tcW w:w="1063" w:type="dxa"/>
            <w:noWrap w:val="0"/>
            <w:vAlign w:val="top"/>
          </w:tcPr>
          <w:p w14:paraId="555EF46F">
            <w:pPr>
              <w:pStyle w:val="5"/>
              <w:widowControl/>
            </w:pPr>
          </w:p>
        </w:tc>
      </w:tr>
      <w:tr w14:paraId="4FC9A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540" w:type="dxa"/>
            <w:noWrap w:val="0"/>
            <w:vAlign w:val="top"/>
          </w:tcPr>
          <w:p w14:paraId="47CA38D0">
            <w:pPr>
              <w:pStyle w:val="5"/>
              <w:widowControl/>
              <w:spacing w:line="366" w:lineRule="auto"/>
            </w:pPr>
          </w:p>
          <w:p w14:paraId="666613B1">
            <w:pPr>
              <w:widowControl/>
              <w:kinsoku w:val="0"/>
              <w:autoSpaceDE w:val="0"/>
              <w:autoSpaceDN w:val="0"/>
              <w:adjustRightInd w:val="0"/>
              <w:snapToGrid w:val="0"/>
              <w:spacing w:before="80" w:line="189" w:lineRule="auto"/>
              <w:ind w:left="119"/>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6"/>
                <w:kern w:val="0"/>
                <w:sz w:val="28"/>
                <w:szCs w:val="28"/>
                <w:lang w:eastAsia="en-US"/>
              </w:rPr>
              <w:t>35</w:t>
            </w:r>
          </w:p>
        </w:tc>
        <w:tc>
          <w:tcPr>
            <w:tcW w:w="5758" w:type="dxa"/>
            <w:noWrap w:val="0"/>
            <w:vAlign w:val="top"/>
          </w:tcPr>
          <w:p w14:paraId="43EA4C2D">
            <w:pPr>
              <w:widowControl/>
              <w:kinsoku w:val="0"/>
              <w:autoSpaceDE w:val="0"/>
              <w:autoSpaceDN w:val="0"/>
              <w:adjustRightInd w:val="0"/>
              <w:snapToGrid w:val="0"/>
              <w:spacing w:before="41" w:line="227" w:lineRule="auto"/>
              <w:ind w:left="115" w:right="103" w:hanging="6"/>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健全危重症患者转诊流程，明确转诊指征、评</w:t>
            </w:r>
            <w:r>
              <w:rPr>
                <w:rFonts w:ascii="仿宋" w:hAnsi="仿宋" w:eastAsia="仿宋" w:cs="仿宋"/>
                <w:snapToGrid w:val="0"/>
                <w:color w:val="000000"/>
                <w:spacing w:val="-4"/>
                <w:kern w:val="0"/>
                <w:sz w:val="28"/>
                <w:szCs w:val="28"/>
                <w:lang w:eastAsia="en-US"/>
              </w:rPr>
              <w:t>估标准及转诊前准备要求，确保转诊过程中患</w:t>
            </w:r>
            <w:r>
              <w:rPr>
                <w:rFonts w:ascii="仿宋" w:hAnsi="仿宋" w:eastAsia="仿宋" w:cs="仿宋"/>
                <w:snapToGrid w:val="0"/>
                <w:color w:val="000000"/>
                <w:spacing w:val="-2"/>
                <w:kern w:val="0"/>
                <w:sz w:val="28"/>
                <w:szCs w:val="28"/>
                <w:lang w:eastAsia="en-US"/>
              </w:rPr>
              <w:t>者病情监测与应急处置到位。</w:t>
            </w:r>
          </w:p>
        </w:tc>
        <w:tc>
          <w:tcPr>
            <w:tcW w:w="1165" w:type="dxa"/>
            <w:noWrap w:val="0"/>
            <w:vAlign w:val="top"/>
          </w:tcPr>
          <w:p w14:paraId="2C7EC665">
            <w:pPr>
              <w:pStyle w:val="5"/>
              <w:widowControl/>
            </w:pPr>
          </w:p>
        </w:tc>
        <w:tc>
          <w:tcPr>
            <w:tcW w:w="1063" w:type="dxa"/>
            <w:noWrap w:val="0"/>
            <w:vAlign w:val="top"/>
          </w:tcPr>
          <w:p w14:paraId="20EB0276">
            <w:pPr>
              <w:pStyle w:val="5"/>
              <w:widowControl/>
            </w:pPr>
          </w:p>
        </w:tc>
      </w:tr>
      <w:tr w14:paraId="700FF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540" w:type="dxa"/>
            <w:noWrap w:val="0"/>
            <w:vAlign w:val="top"/>
          </w:tcPr>
          <w:p w14:paraId="37D39BF6">
            <w:pPr>
              <w:pStyle w:val="5"/>
              <w:widowControl/>
              <w:spacing w:line="366" w:lineRule="auto"/>
            </w:pPr>
          </w:p>
          <w:p w14:paraId="0653C17E">
            <w:pPr>
              <w:widowControl/>
              <w:kinsoku w:val="0"/>
              <w:autoSpaceDE w:val="0"/>
              <w:autoSpaceDN w:val="0"/>
              <w:adjustRightInd w:val="0"/>
              <w:snapToGrid w:val="0"/>
              <w:spacing w:before="81" w:line="189" w:lineRule="auto"/>
              <w:ind w:left="119"/>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6"/>
                <w:kern w:val="0"/>
                <w:sz w:val="28"/>
                <w:szCs w:val="28"/>
                <w:lang w:eastAsia="en-US"/>
              </w:rPr>
              <w:t>36</w:t>
            </w:r>
          </w:p>
        </w:tc>
        <w:tc>
          <w:tcPr>
            <w:tcW w:w="5758" w:type="dxa"/>
            <w:noWrap w:val="0"/>
            <w:vAlign w:val="top"/>
          </w:tcPr>
          <w:p w14:paraId="795E0E04">
            <w:pPr>
              <w:widowControl/>
              <w:kinsoku w:val="0"/>
              <w:autoSpaceDE w:val="0"/>
              <w:autoSpaceDN w:val="0"/>
              <w:adjustRightInd w:val="0"/>
              <w:snapToGrid w:val="0"/>
              <w:spacing w:before="45" w:line="226" w:lineRule="auto"/>
              <w:ind w:left="111" w:right="28" w:firstLine="1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
                <w:kern w:val="0"/>
                <w:sz w:val="28"/>
                <w:szCs w:val="28"/>
                <w:lang w:eastAsia="en-US"/>
              </w:rPr>
              <w:t>规范住院病历书写与记录，明确病历书写时</w:t>
            </w:r>
            <w:r>
              <w:rPr>
                <w:rFonts w:ascii="仿宋" w:hAnsi="仿宋" w:eastAsia="仿宋" w:cs="仿宋"/>
                <w:snapToGrid w:val="0"/>
                <w:color w:val="000000"/>
                <w:kern w:val="0"/>
                <w:sz w:val="28"/>
                <w:szCs w:val="28"/>
                <w:lang w:eastAsia="en-US"/>
              </w:rPr>
              <w:t xml:space="preserve"> </w:t>
            </w:r>
            <w:r>
              <w:rPr>
                <w:rFonts w:ascii="仿宋" w:hAnsi="仿宋" w:eastAsia="仿宋" w:cs="仿宋"/>
                <w:snapToGrid w:val="0"/>
                <w:color w:val="000000"/>
                <w:spacing w:val="-13"/>
                <w:kern w:val="0"/>
                <w:sz w:val="28"/>
                <w:szCs w:val="28"/>
                <w:lang w:eastAsia="en-US"/>
              </w:rPr>
              <w:t>限、内容及审核标准，定期开展病历质量核查，</w:t>
            </w:r>
            <w:r>
              <w:rPr>
                <w:rFonts w:ascii="仿宋" w:hAnsi="仿宋" w:eastAsia="仿宋" w:cs="仿宋"/>
                <w:snapToGrid w:val="0"/>
                <w:color w:val="000000"/>
                <w:spacing w:val="-1"/>
                <w:kern w:val="0"/>
                <w:sz w:val="28"/>
                <w:szCs w:val="28"/>
                <w:lang w:eastAsia="en-US"/>
              </w:rPr>
              <w:t>提升病历完整性与规范性。</w:t>
            </w:r>
          </w:p>
        </w:tc>
        <w:tc>
          <w:tcPr>
            <w:tcW w:w="1165" w:type="dxa"/>
            <w:noWrap w:val="0"/>
            <w:vAlign w:val="top"/>
          </w:tcPr>
          <w:p w14:paraId="41025C79">
            <w:pPr>
              <w:pStyle w:val="5"/>
              <w:widowControl/>
            </w:pPr>
          </w:p>
        </w:tc>
        <w:tc>
          <w:tcPr>
            <w:tcW w:w="1063" w:type="dxa"/>
            <w:noWrap w:val="0"/>
            <w:vAlign w:val="top"/>
          </w:tcPr>
          <w:p w14:paraId="2C002C46">
            <w:pPr>
              <w:pStyle w:val="5"/>
              <w:widowControl/>
            </w:pPr>
          </w:p>
        </w:tc>
      </w:tr>
      <w:tr w14:paraId="3050F0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540" w:type="dxa"/>
            <w:noWrap w:val="0"/>
            <w:vAlign w:val="top"/>
          </w:tcPr>
          <w:p w14:paraId="47E62275">
            <w:pPr>
              <w:pStyle w:val="5"/>
              <w:widowControl/>
              <w:spacing w:line="367" w:lineRule="auto"/>
            </w:pPr>
          </w:p>
          <w:p w14:paraId="0277E8D4">
            <w:pPr>
              <w:widowControl/>
              <w:kinsoku w:val="0"/>
              <w:autoSpaceDE w:val="0"/>
              <w:autoSpaceDN w:val="0"/>
              <w:adjustRightInd w:val="0"/>
              <w:snapToGrid w:val="0"/>
              <w:spacing w:before="80" w:line="189" w:lineRule="auto"/>
              <w:ind w:left="119"/>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6"/>
                <w:kern w:val="0"/>
                <w:sz w:val="28"/>
                <w:szCs w:val="28"/>
                <w:lang w:eastAsia="en-US"/>
              </w:rPr>
              <w:t>37</w:t>
            </w:r>
          </w:p>
        </w:tc>
        <w:tc>
          <w:tcPr>
            <w:tcW w:w="5758" w:type="dxa"/>
            <w:noWrap w:val="0"/>
            <w:vAlign w:val="top"/>
          </w:tcPr>
          <w:p w14:paraId="17E8C5BD">
            <w:pPr>
              <w:widowControl/>
              <w:kinsoku w:val="0"/>
              <w:autoSpaceDE w:val="0"/>
              <w:autoSpaceDN w:val="0"/>
              <w:adjustRightInd w:val="0"/>
              <w:snapToGrid w:val="0"/>
              <w:spacing w:before="45" w:line="226" w:lineRule="auto"/>
              <w:ind w:left="122" w:right="103" w:firstLine="8"/>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5"/>
                <w:kern w:val="0"/>
                <w:sz w:val="28"/>
                <w:szCs w:val="28"/>
                <w:lang w:eastAsia="en-US"/>
              </w:rPr>
              <w:t>强化临床用血规范化管理，健全临床用血审核</w:t>
            </w:r>
            <w:r>
              <w:rPr>
                <w:rFonts w:ascii="仿宋" w:hAnsi="仿宋" w:eastAsia="仿宋" w:cs="仿宋"/>
                <w:snapToGrid w:val="0"/>
                <w:color w:val="000000"/>
                <w:spacing w:val="-4"/>
                <w:kern w:val="0"/>
                <w:sz w:val="28"/>
                <w:szCs w:val="28"/>
                <w:lang w:eastAsia="en-US"/>
              </w:rPr>
              <w:t>制度，完善用血审核、全程追溯、不良反应监</w:t>
            </w:r>
            <w:r>
              <w:rPr>
                <w:rFonts w:ascii="仿宋" w:hAnsi="仿宋" w:eastAsia="仿宋" w:cs="仿宋"/>
                <w:snapToGrid w:val="0"/>
                <w:color w:val="000000"/>
                <w:spacing w:val="-2"/>
                <w:kern w:val="0"/>
                <w:sz w:val="28"/>
                <w:szCs w:val="28"/>
                <w:lang w:eastAsia="en-US"/>
              </w:rPr>
              <w:t>测与处置等流程，保障急救用血。</w:t>
            </w:r>
          </w:p>
        </w:tc>
        <w:tc>
          <w:tcPr>
            <w:tcW w:w="1165" w:type="dxa"/>
            <w:noWrap w:val="0"/>
            <w:vAlign w:val="top"/>
          </w:tcPr>
          <w:p w14:paraId="69E0399D">
            <w:pPr>
              <w:pStyle w:val="5"/>
              <w:widowControl/>
            </w:pPr>
          </w:p>
        </w:tc>
        <w:tc>
          <w:tcPr>
            <w:tcW w:w="1063" w:type="dxa"/>
            <w:noWrap w:val="0"/>
            <w:vAlign w:val="top"/>
          </w:tcPr>
          <w:p w14:paraId="758CC333">
            <w:pPr>
              <w:pStyle w:val="5"/>
              <w:widowControl/>
            </w:pPr>
          </w:p>
        </w:tc>
      </w:tr>
      <w:tr w14:paraId="72D2D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540" w:type="dxa"/>
            <w:noWrap w:val="0"/>
            <w:vAlign w:val="top"/>
          </w:tcPr>
          <w:p w14:paraId="7E1F311F">
            <w:pPr>
              <w:pStyle w:val="5"/>
              <w:widowControl/>
              <w:spacing w:line="367" w:lineRule="auto"/>
            </w:pPr>
          </w:p>
          <w:p w14:paraId="76E2D334">
            <w:pPr>
              <w:widowControl/>
              <w:kinsoku w:val="0"/>
              <w:autoSpaceDE w:val="0"/>
              <w:autoSpaceDN w:val="0"/>
              <w:adjustRightInd w:val="0"/>
              <w:snapToGrid w:val="0"/>
              <w:spacing w:before="81" w:line="189" w:lineRule="auto"/>
              <w:ind w:left="119"/>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6"/>
                <w:kern w:val="0"/>
                <w:sz w:val="28"/>
                <w:szCs w:val="28"/>
                <w:lang w:eastAsia="en-US"/>
              </w:rPr>
              <w:t>38</w:t>
            </w:r>
          </w:p>
        </w:tc>
        <w:tc>
          <w:tcPr>
            <w:tcW w:w="5758" w:type="dxa"/>
            <w:noWrap w:val="0"/>
            <w:vAlign w:val="top"/>
          </w:tcPr>
          <w:p w14:paraId="19B6955D">
            <w:pPr>
              <w:widowControl/>
              <w:kinsoku w:val="0"/>
              <w:autoSpaceDE w:val="0"/>
              <w:autoSpaceDN w:val="0"/>
              <w:adjustRightInd w:val="0"/>
              <w:snapToGrid w:val="0"/>
              <w:spacing w:before="45" w:line="226" w:lineRule="auto"/>
              <w:ind w:left="120" w:right="103" w:hanging="12"/>
              <w:jc w:val="both"/>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严格落实手术分级管理制度，加强手术患者术</w:t>
            </w:r>
            <w:r>
              <w:rPr>
                <w:rFonts w:ascii="仿宋" w:hAnsi="仿宋" w:eastAsia="仿宋" w:cs="仿宋"/>
                <w:snapToGrid w:val="0"/>
                <w:color w:val="000000"/>
                <w:spacing w:val="-4"/>
                <w:kern w:val="0"/>
                <w:sz w:val="28"/>
                <w:szCs w:val="28"/>
                <w:lang w:eastAsia="en-US"/>
              </w:rPr>
              <w:t>前评估、麻醉评估，落实术前讨论制度，规范</w:t>
            </w:r>
            <w:r>
              <w:rPr>
                <w:rFonts w:ascii="仿宋" w:hAnsi="仿宋" w:eastAsia="仿宋" w:cs="仿宋"/>
                <w:snapToGrid w:val="0"/>
                <w:color w:val="000000"/>
                <w:spacing w:val="-3"/>
                <w:kern w:val="0"/>
                <w:sz w:val="28"/>
                <w:szCs w:val="28"/>
                <w:lang w:eastAsia="en-US"/>
              </w:rPr>
              <w:t>开展手术诊疗。</w:t>
            </w:r>
          </w:p>
        </w:tc>
        <w:tc>
          <w:tcPr>
            <w:tcW w:w="1165" w:type="dxa"/>
            <w:noWrap w:val="0"/>
            <w:vAlign w:val="top"/>
          </w:tcPr>
          <w:p w14:paraId="7A9FF92C">
            <w:pPr>
              <w:pStyle w:val="5"/>
              <w:widowControl/>
            </w:pPr>
          </w:p>
        </w:tc>
        <w:tc>
          <w:tcPr>
            <w:tcW w:w="1063" w:type="dxa"/>
            <w:noWrap w:val="0"/>
            <w:vAlign w:val="top"/>
          </w:tcPr>
          <w:p w14:paraId="5225D2EC">
            <w:pPr>
              <w:pStyle w:val="5"/>
              <w:widowControl/>
            </w:pPr>
          </w:p>
        </w:tc>
      </w:tr>
      <w:tr w14:paraId="60D1D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540" w:type="dxa"/>
            <w:noWrap w:val="0"/>
            <w:vAlign w:val="top"/>
          </w:tcPr>
          <w:p w14:paraId="52220280">
            <w:pPr>
              <w:widowControl/>
              <w:kinsoku w:val="0"/>
              <w:autoSpaceDE w:val="0"/>
              <w:autoSpaceDN w:val="0"/>
              <w:adjustRightInd w:val="0"/>
              <w:snapToGrid w:val="0"/>
              <w:spacing w:before="273" w:line="189" w:lineRule="auto"/>
              <w:ind w:left="119"/>
              <w:jc w:val="left"/>
              <w:textAlignment w:val="baseline"/>
              <w:rPr>
                <w:rFonts w:ascii="Times New Roman" w:hAnsi="Times New Roman" w:eastAsia="Times New Roman" w:cs="Times New Roman"/>
                <w:snapToGrid w:val="0"/>
                <w:color w:val="000000"/>
                <w:kern w:val="0"/>
                <w:sz w:val="28"/>
                <w:szCs w:val="28"/>
                <w:lang w:eastAsia="en-US"/>
              </w:rPr>
            </w:pPr>
            <w:r>
              <w:rPr>
                <w:rFonts w:ascii="Times New Roman" w:hAnsi="Times New Roman" w:eastAsia="Times New Roman" w:cs="Times New Roman"/>
                <w:snapToGrid w:val="0"/>
                <w:color w:val="000000"/>
                <w:spacing w:val="-6"/>
                <w:kern w:val="0"/>
                <w:sz w:val="28"/>
                <w:szCs w:val="28"/>
                <w:lang w:eastAsia="en-US"/>
              </w:rPr>
              <w:t>39</w:t>
            </w:r>
          </w:p>
        </w:tc>
        <w:tc>
          <w:tcPr>
            <w:tcW w:w="5758" w:type="dxa"/>
            <w:noWrap w:val="0"/>
            <w:vAlign w:val="top"/>
          </w:tcPr>
          <w:p w14:paraId="7B31A10F">
            <w:pPr>
              <w:widowControl/>
              <w:kinsoku w:val="0"/>
              <w:autoSpaceDE w:val="0"/>
              <w:autoSpaceDN w:val="0"/>
              <w:adjustRightInd w:val="0"/>
              <w:snapToGrid w:val="0"/>
              <w:spacing w:before="45" w:line="222" w:lineRule="auto"/>
              <w:ind w:left="116" w:right="103" w:hanging="8"/>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严格落实手术安全核查制度，强化围手术期管</w:t>
            </w:r>
            <w:r>
              <w:rPr>
                <w:rFonts w:ascii="仿宋" w:hAnsi="仿宋" w:eastAsia="仿宋" w:cs="仿宋"/>
                <w:snapToGrid w:val="0"/>
                <w:color w:val="000000"/>
                <w:spacing w:val="-7"/>
                <w:kern w:val="0"/>
                <w:sz w:val="28"/>
                <w:szCs w:val="28"/>
                <w:lang w:eastAsia="en-US"/>
              </w:rPr>
              <w:t>理。</w:t>
            </w:r>
          </w:p>
        </w:tc>
        <w:tc>
          <w:tcPr>
            <w:tcW w:w="1165" w:type="dxa"/>
            <w:noWrap w:val="0"/>
            <w:vAlign w:val="top"/>
          </w:tcPr>
          <w:p w14:paraId="48510FF5">
            <w:pPr>
              <w:pStyle w:val="5"/>
              <w:widowControl/>
            </w:pPr>
          </w:p>
        </w:tc>
        <w:tc>
          <w:tcPr>
            <w:tcW w:w="1063" w:type="dxa"/>
            <w:noWrap w:val="0"/>
            <w:vAlign w:val="top"/>
          </w:tcPr>
          <w:p w14:paraId="7C42EDFD">
            <w:pPr>
              <w:pStyle w:val="5"/>
              <w:widowControl/>
            </w:pPr>
          </w:p>
        </w:tc>
      </w:tr>
    </w:tbl>
    <w:p w14:paraId="08EDB12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p w14:paraId="0C99E9E7"/>
    <w:p w14:paraId="3C528519"/>
    <w:p w14:paraId="30FB03CD">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国标小标宋">
    <w:altName w:val="宋体"/>
    <w:panose1 w:val="02000500000000000000"/>
    <w:charset w:val="86"/>
    <w:family w:val="auto"/>
    <w:pitch w:val="default"/>
    <w:sig w:usb0="00000000" w:usb1="00000000" w:usb2="00000000" w:usb3="00000000" w:csb0="00040000" w:csb1="00000000"/>
  </w:font>
  <w:font w:name="方正楷体_GBK">
    <w:altName w:val="Arial Unicode MS"/>
    <w:panose1 w:val="02000000000000000000"/>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BF69B3"/>
    <w:multiLevelType w:val="singleLevel"/>
    <w:tmpl w:val="BDBF69B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71940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unhideWhenUsed/>
    <w:qFormat/>
    <w:uiPriority w:val="0"/>
    <w:tblPr>
      <w:tblCellMar>
        <w:top w:w="0" w:type="dxa"/>
        <w:left w:w="0" w:type="dxa"/>
        <w:bottom w:w="0" w:type="dxa"/>
        <w:right w:w="0" w:type="dxa"/>
      </w:tblCellMar>
    </w:tblPr>
  </w:style>
  <w:style w:type="paragraph" w:customStyle="1" w:styleId="5">
    <w:name w:val="Table Text"/>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Office_12.8.2.20324_F1E327BC-269C-435d-A152-05C5408002CA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杨慧武</cp:lastModifiedBy>
  <dcterms:modified xsi:type="dcterms:W3CDTF">2026-07-14T01:16:56Z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2078506115804474A72938DC0E43A635_12</vt:lpwstr>
  </property>
</Properties>
</file>