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2E1E0">
      <w:pPr>
        <w:spacing w:before="480" w:after="480" w:line="360" w:lineRule="auto"/>
        <w:jc w:val="center"/>
        <w:rPr>
          <w:rFonts w:hint="eastAsia" w:ascii="宋体" w:hAnsi="宋体" w:eastAsia="宋体" w:cs="宋体"/>
          <w:b/>
          <w:sz w:val="52"/>
        </w:rPr>
      </w:pPr>
    </w:p>
    <w:p w14:paraId="2ABD92B7">
      <w:pPr>
        <w:spacing w:before="480" w:after="480" w:line="360" w:lineRule="auto"/>
        <w:jc w:val="center"/>
        <w:rPr>
          <w:rFonts w:hint="eastAsia" w:ascii="宋体" w:hAnsi="宋体" w:eastAsia="宋体" w:cs="宋体"/>
          <w:b/>
          <w:sz w:val="52"/>
        </w:rPr>
      </w:pPr>
    </w:p>
    <w:p w14:paraId="46C2B4EC">
      <w:pPr>
        <w:widowControl w:val="0"/>
        <w:spacing w:before="480" w:after="480" w:line="360" w:lineRule="auto"/>
        <w:jc w:val="center"/>
        <w:rPr>
          <w:rFonts w:hint="eastAsia" w:ascii="黑体" w:hAnsi="黑体" w:eastAsia="黑体" w:cs="黑体"/>
          <w:sz w:val="58"/>
          <w:szCs w:val="58"/>
          <w:lang w:val="en-US" w:eastAsia="zh-CN" w:bidi="ar-SA"/>
        </w:rPr>
      </w:pPr>
      <w:r>
        <w:rPr>
          <w:rFonts w:hint="eastAsia" w:ascii="黑体" w:hAnsi="黑体" w:eastAsia="黑体" w:cs="黑体"/>
          <w:b/>
          <w:sz w:val="58"/>
          <w:szCs w:val="58"/>
          <w:lang w:val="en-US" w:eastAsia="zh-CN" w:bidi="ar-SA"/>
        </w:rPr>
        <w:t>河南省“三医一张网”数据标准编制说明</w:t>
      </w:r>
    </w:p>
    <w:p w14:paraId="50335D3A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20F491CE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36AA5B8C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42BD681F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269EB67A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1ECDE651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7B12B94B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3186DEB1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23325F04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5AB6FDB2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3345B582">
      <w:pPr>
        <w:widowControl w:val="0"/>
        <w:spacing w:before="120" w:after="120"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45C0F465">
      <w:pPr>
        <w:widowControl w:val="0"/>
        <w:spacing w:before="120" w:after="120"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 w:bidi="ar-SA"/>
        </w:rPr>
        <w:t>编制单位：河南“三医一张网”数据标准编制小组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 w:bidi="ar-SA"/>
        </w:rPr>
        <w:t>发布日期：2026年7月</w:t>
      </w:r>
    </w:p>
    <w:p w14:paraId="3D486A0E">
      <w:pPr>
        <w:spacing w:before="120" w:after="120" w:line="360" w:lineRule="auto"/>
        <w:jc w:val="left"/>
        <w:rPr>
          <w:rFonts w:hint="eastAsia" w:ascii="宋体" w:hAnsi="宋体" w:eastAsia="宋体" w:cs="宋体"/>
          <w:sz w:val="22"/>
        </w:rPr>
        <w:sectPr>
          <w:headerReference r:id="rId3" w:type="default"/>
          <w:pgSz w:w="11905" w:h="16840"/>
          <w:pgMar w:top="1440" w:right="1800" w:bottom="1440" w:left="1800" w:header="720" w:footer="720" w:gutter="0"/>
          <w:cols w:space="720" w:num="1"/>
        </w:sectPr>
      </w:pPr>
    </w:p>
    <w:sdt>
      <w:sdtPr>
        <w:rPr>
          <w:rFonts w:hint="eastAsia" w:ascii="宋体" w:hAnsi="宋体" w:eastAsia="宋体" w:cs="宋体"/>
          <w:b/>
          <w:bCs/>
        </w:rPr>
        <w:id w:val="147463386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sz w:val="24"/>
          <w:szCs w:val="24"/>
        </w:rPr>
      </w:sdtEndPr>
      <w:sdtContent>
        <w:p w14:paraId="5252280F">
          <w:pPr>
            <w:pStyle w:val="37"/>
            <w:outlineLvl w:val="9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</w:rPr>
            <w:t>目录</w:t>
          </w:r>
        </w:p>
        <w:p w14:paraId="1A04899E">
          <w:pPr>
            <w:pStyle w:val="15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TOC \o "1-3" \h \u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_Toc6011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1.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编制的目的和意义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_Toc6011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6F41F8D2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_Toc10990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1.1.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编制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eastAsia="zh-CN"/>
            </w:rPr>
            <w:t>目的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_Toc10990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B53A0B9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_Toc16863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1.2.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编制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eastAsia="zh-CN"/>
            </w:rPr>
            <w:t>意义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_Toc16863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CF27832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_Toc5217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1.3.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可行性分析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_Toc5217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F57799B">
          <w:pPr>
            <w:pStyle w:val="15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_Toc30027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2.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任务来源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eastAsia="zh-CN"/>
            </w:rPr>
            <w:t>、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编制原则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eastAsia="zh-CN"/>
            </w:rPr>
            <w:t>和参照标准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_Toc30027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8E38764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_Toc11755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2.1.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任务来源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_Toc11755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5AEA00B2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_Toc1000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2.2.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编制原则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_Toc1000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29310151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_Toc3210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2.3. 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eastAsia="zh-CN"/>
            </w:rPr>
            <w:t>参照标准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_Toc3210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0BCCE4F">
          <w:pPr>
            <w:pStyle w:val="15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_Toc29767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3.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编制过程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_Toc29767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5FDFC180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_Toc5077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3.1.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第一阶段（2026年4月：标准梳理）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_Toc5077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6C5FE93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_Toc24009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3.2.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第二阶段（2026年5月：值域代码、标准字典编制）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_Toc24009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6F27754D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_Toc16199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3.3.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第三阶段（2026年6月：数据集编制）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_Toc16199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C3E99FC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_Toc28973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3.4.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第四阶段（2026年7月：专家评审与发布）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_Toc28973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7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84DA883">
          <w:pPr>
            <w:pStyle w:val="15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_Toc23305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4.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编制规范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_Toc23305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7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65235AC0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_Toc22205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4.1.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基础标准字典编制规范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_Toc22205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7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521600C2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_Toc20473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4.2.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值域代码编制规范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_Toc20473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10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2278852">
          <w:pPr>
            <w:pStyle w:val="12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_Toc5807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4.2.1.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国标原生编码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_Toc5807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10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BFFA564">
          <w:pPr>
            <w:pStyle w:val="12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_Toc1278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4.2.2.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国标修订编码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_Toc1278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10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59273B3E">
          <w:pPr>
            <w:pStyle w:val="12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_Toc9648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4.2.3.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本地扩展编码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_Toc9648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10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543BC076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_Toc10218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4.3.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数据集编制规范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_Toc10218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12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262A1CB7">
          <w:pPr>
            <w:pStyle w:val="12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_Toc16059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4.3.1.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数据</w:t>
          </w:r>
          <w:r>
            <w:rPr>
              <w:rFonts w:hint="eastAsia" w:ascii="宋体" w:hAnsi="宋体" w:eastAsia="宋体" w:cs="宋体"/>
              <w:bCs/>
              <w:sz w:val="24"/>
              <w:szCs w:val="24"/>
              <w:lang w:eastAsia="zh-CN"/>
            </w:rPr>
            <w:t>集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目录编制规范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_Toc16059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12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3BC515B">
          <w:pPr>
            <w:pStyle w:val="12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_Toc632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4.3.2.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数据元编制规范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_Toc632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1D662E59">
          <w:pPr>
            <w:pStyle w:val="15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_Toc15524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5.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重大意见分歧的处理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_Toc15524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6E537FF">
          <w:pPr>
            <w:pStyle w:val="15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_Toc25639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6.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与国家法律法规和强制性标准的关系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_Toc25639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537608A3">
          <w:pPr>
            <w:pStyle w:val="15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_Toc30975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7.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标准实施的建议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_Toc30975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5517D42F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_Toc12287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7.1.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组织措施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_Toc12287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5FAFB1E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_Toc9043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7.2.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技术措施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_Toc9043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2CFF500">
          <w:pPr>
            <w:pStyle w:val="17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_Toc21902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7.3.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过渡配套办法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_Toc21902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654CC54D">
          <w:pPr>
            <w:pStyle w:val="15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_Toc23213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8.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其他应予说明的事项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_Toc23213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7F94D8C">
          <w:pPr>
            <w:pStyle w:val="15"/>
            <w:tabs>
              <w:tab w:val="right" w:leader="dot" w:pos="8305"/>
            </w:tabs>
            <w:spacing w:line="360" w:lineRule="auto"/>
            <w:rPr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HYPERLINK \l _Toc30352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 w:val="24"/>
              <w:szCs w:val="24"/>
            </w:rPr>
            <w:t xml:space="preserve">9. 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附表：分册数据表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_Toc30352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896504F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jc w:val="left"/>
            <w:textAlignment w:val="auto"/>
            <w:rPr>
              <w:rFonts w:hint="eastAsia"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</w:sdtContent>
    </w:sdt>
    <w:p w14:paraId="29C6D7DE">
      <w:pPr>
        <w:pStyle w:val="2"/>
        <w:bidi w:val="0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br w:type="page"/>
      </w:r>
      <w:bookmarkStart w:id="0" w:name="_Toc8625"/>
      <w:bookmarkStart w:id="1" w:name="_Toc6011"/>
      <w:bookmarkStart w:id="2" w:name="_Toc3110"/>
      <w:bookmarkStart w:id="3" w:name="_Toc27767"/>
      <w:bookmarkStart w:id="4" w:name="heading_0"/>
      <w:r>
        <w:rPr>
          <w:rFonts w:hint="eastAsia" w:ascii="宋体" w:hAnsi="宋体" w:eastAsia="宋体" w:cs="宋体"/>
          <w:b/>
          <w:bCs/>
          <w:sz w:val="30"/>
          <w:szCs w:val="30"/>
        </w:rPr>
        <w:t>编制的目的和意义</w:t>
      </w:r>
      <w:bookmarkEnd w:id="0"/>
      <w:bookmarkEnd w:id="1"/>
      <w:bookmarkEnd w:id="2"/>
      <w:bookmarkEnd w:id="3"/>
      <w:bookmarkEnd w:id="4"/>
    </w:p>
    <w:p w14:paraId="132EFC63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5" w:name="_Toc10990"/>
      <w:bookmarkStart w:id="6" w:name="_Toc14910"/>
      <w:bookmarkStart w:id="7" w:name="heading_1"/>
      <w:bookmarkStart w:id="8" w:name="_Toc31960"/>
      <w:bookmarkStart w:id="9" w:name="_Toc7895"/>
      <w:r>
        <w:rPr>
          <w:rFonts w:hint="eastAsia" w:ascii="宋体" w:hAnsi="宋体" w:eastAsia="宋体" w:cs="宋体"/>
          <w:b/>
          <w:bCs/>
          <w:sz w:val="28"/>
          <w:szCs w:val="28"/>
        </w:rPr>
        <w:t>编制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目的</w:t>
      </w:r>
      <w:bookmarkEnd w:id="5"/>
      <w:bookmarkEnd w:id="6"/>
      <w:bookmarkEnd w:id="7"/>
      <w:bookmarkEnd w:id="8"/>
      <w:bookmarkEnd w:id="9"/>
    </w:p>
    <w:p w14:paraId="37DF4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 w:bidi="ar-SA"/>
        </w:rPr>
        <w:t>构建统一、动态、完备的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 w:bidi="ar-SA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 w:bidi="ar-SA"/>
        </w:rPr>
        <w:t>三医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 w:bidi="ar-SA"/>
        </w:rPr>
        <w:t>一张网”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 w:bidi="ar-SA"/>
        </w:rPr>
        <w:t>数据标准底座，支撑省级“三医”协同治理平台，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 w:bidi="ar-SA"/>
        </w:rPr>
        <w:t>助力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 w:bidi="ar-SA"/>
        </w:rPr>
        <w:t>形成多部门网络融合、标准统一、数据共享、业务协同、监管联动的治理格局，夯实便民、助医、辅政、监管、促研、育产“六位一体”服务能力。通过标准化数据赋能医保基金监管、药械全链条管控、公共卫生防控、慢病分级管理、区域健康数据分析及便民就医服务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 w:bidi="ar-SA"/>
        </w:rPr>
        <w:t>全省三医信息</w:t>
      </w:r>
      <w:bookmarkStart w:id="129" w:name="_GoBack"/>
      <w:bookmarkEnd w:id="129"/>
      <w:r>
        <w:rPr>
          <w:rFonts w:hint="eastAsia" w:asciiTheme="minorEastAsia" w:hAnsiTheme="minorEastAsia" w:cstheme="minorEastAsia"/>
          <w:sz w:val="24"/>
          <w:szCs w:val="24"/>
          <w:lang w:val="en-US" w:eastAsia="zh-CN" w:bidi="ar-SA"/>
        </w:rPr>
        <w:t>共生共享，为决策提供标准支撑，推动分级诊疗，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 w:bidi="ar-SA"/>
        </w:rPr>
        <w:t>提升医疗卫生服务质量与精细化管理水平，优化医疗资源配置、防范行业风险、和谐医患关系，助力健康河南高质量、规范化、数智化发展。</w:t>
      </w:r>
    </w:p>
    <w:p w14:paraId="36F9B201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10" w:name="_Toc16863"/>
      <w:bookmarkStart w:id="11" w:name="_Toc30353"/>
      <w:bookmarkStart w:id="12" w:name="heading_2"/>
      <w:bookmarkStart w:id="13" w:name="_Toc29597"/>
      <w:bookmarkStart w:id="14" w:name="_Toc28311"/>
      <w:r>
        <w:rPr>
          <w:rFonts w:hint="eastAsia" w:ascii="宋体" w:hAnsi="宋体" w:eastAsia="宋体" w:cs="宋体"/>
          <w:b/>
          <w:bCs/>
          <w:sz w:val="28"/>
          <w:szCs w:val="28"/>
        </w:rPr>
        <w:t>编制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意义</w:t>
      </w:r>
      <w:bookmarkEnd w:id="10"/>
      <w:bookmarkEnd w:id="11"/>
      <w:bookmarkEnd w:id="12"/>
      <w:bookmarkEnd w:id="13"/>
      <w:bookmarkEnd w:id="14"/>
    </w:p>
    <w:p w14:paraId="14B748B1">
      <w:pPr>
        <w:pStyle w:val="11"/>
        <w:numPr>
          <w:ilvl w:val="0"/>
          <w:numId w:val="2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打通卫健、医保、药监三部门数据壁垒，实现数据标准统一，为综合监管和宏观决策提供基础数据支撑。</w:t>
      </w:r>
    </w:p>
    <w:p w14:paraId="387345BC">
      <w:pPr>
        <w:pStyle w:val="11"/>
        <w:numPr>
          <w:ilvl w:val="0"/>
          <w:numId w:val="2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规避数据重复采集，落实一数一源、一次采集、多方应用要求，以数据来源划分数据集，减轻医疗机构数据上报负担。</w:t>
      </w:r>
    </w:p>
    <w:p w14:paraId="5F4072A0">
      <w:pPr>
        <w:pStyle w:val="11"/>
        <w:numPr>
          <w:ilvl w:val="0"/>
          <w:numId w:val="2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降低系统改造成本，消除多套规范并行带来的系统改造、数据治理成本。</w:t>
      </w:r>
    </w:p>
    <w:p w14:paraId="75CDFF6D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15" w:name="_Toc14930"/>
      <w:bookmarkStart w:id="16" w:name="_Toc7505"/>
      <w:bookmarkStart w:id="17" w:name="heading_3"/>
      <w:bookmarkStart w:id="18" w:name="_Toc26133"/>
      <w:bookmarkStart w:id="19" w:name="_Toc5217"/>
      <w:r>
        <w:rPr>
          <w:rFonts w:hint="eastAsia" w:ascii="宋体" w:hAnsi="宋体" w:eastAsia="宋体" w:cs="宋体"/>
          <w:b/>
          <w:bCs/>
          <w:sz w:val="28"/>
          <w:szCs w:val="28"/>
        </w:rPr>
        <w:t>可行性分析</w:t>
      </w:r>
      <w:bookmarkEnd w:id="15"/>
      <w:bookmarkEnd w:id="16"/>
      <w:bookmarkEnd w:id="17"/>
      <w:bookmarkEnd w:id="18"/>
      <w:bookmarkEnd w:id="19"/>
    </w:p>
    <w:p w14:paraId="46826117">
      <w:pPr>
        <w:pStyle w:val="11"/>
        <w:numPr>
          <w:ilvl w:val="0"/>
          <w:numId w:val="3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  <w:bookmarkStart w:id="20" w:name="_Toc16926"/>
      <w:bookmarkStart w:id="21" w:name="_Toc28385"/>
      <w:r>
        <w:rPr>
          <w:rFonts w:hint="eastAsia" w:ascii="宋体" w:hAnsi="宋体" w:eastAsia="宋体" w:cs="宋体"/>
          <w:b w:val="0"/>
          <w:bCs/>
          <w:sz w:val="24"/>
          <w:szCs w:val="24"/>
        </w:rPr>
        <w:t>整体统筹规划：由省卫健委、医保局、药监局联合组建专班，统一规划、统一实施，覆盖卫健、医保、药监主体业务，具备行政落地保障；</w:t>
      </w:r>
      <w:bookmarkEnd w:id="20"/>
      <w:bookmarkEnd w:id="21"/>
    </w:p>
    <w:p w14:paraId="474BDB7E">
      <w:pPr>
        <w:pStyle w:val="11"/>
        <w:numPr>
          <w:ilvl w:val="0"/>
          <w:numId w:val="3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标准体系完备：国标、行标基础完善，现有卫健、医保、药监标准体系成熟，行业内部已实现信息互通，多省份三医标准可供复用参考；</w:t>
      </w:r>
    </w:p>
    <w:p w14:paraId="110D6133">
      <w:pPr>
        <w:pStyle w:val="2"/>
        <w:bidi w:val="0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22" w:name="_Toc28641"/>
      <w:bookmarkStart w:id="23" w:name="_Toc10692"/>
      <w:bookmarkStart w:id="24" w:name="heading_4"/>
      <w:bookmarkStart w:id="25" w:name="_Toc18986"/>
      <w:bookmarkStart w:id="26" w:name="_Toc30027"/>
      <w:r>
        <w:rPr>
          <w:rFonts w:hint="eastAsia" w:ascii="宋体" w:hAnsi="宋体" w:eastAsia="宋体" w:cs="宋体"/>
          <w:b/>
          <w:bCs/>
          <w:sz w:val="30"/>
          <w:szCs w:val="30"/>
        </w:rPr>
        <w:t>任务来源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编制原则</w:t>
      </w:r>
      <w:bookmarkEnd w:id="22"/>
      <w:bookmarkEnd w:id="23"/>
      <w:bookmarkEnd w:id="24"/>
      <w:bookmarkEnd w:id="25"/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和参照标准</w:t>
      </w:r>
      <w:bookmarkEnd w:id="26"/>
    </w:p>
    <w:p w14:paraId="53350D36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27" w:name="_Toc31259"/>
      <w:bookmarkStart w:id="28" w:name="_Toc26867"/>
      <w:bookmarkStart w:id="29" w:name="_Toc7944"/>
      <w:bookmarkStart w:id="30" w:name="heading_5"/>
      <w:bookmarkStart w:id="31" w:name="_Toc11755"/>
      <w:r>
        <w:rPr>
          <w:rFonts w:hint="eastAsia" w:ascii="宋体" w:hAnsi="宋体" w:eastAsia="宋体" w:cs="宋体"/>
          <w:b/>
          <w:bCs/>
          <w:sz w:val="28"/>
          <w:szCs w:val="28"/>
        </w:rPr>
        <w:t>任务来源</w:t>
      </w:r>
      <w:bookmarkEnd w:id="27"/>
      <w:bookmarkEnd w:id="28"/>
      <w:bookmarkEnd w:id="29"/>
      <w:bookmarkEnd w:id="30"/>
      <w:bookmarkEnd w:id="31"/>
    </w:p>
    <w:p w14:paraId="59A2ADE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本标准列入2026年度河南省“三医一张网”核心工作内容，由河南“三医一张网”工作专班“一池共生”专项小组牵头起草，卫健、医保、药监各方共同参与，行业专家多方论证。</w:t>
      </w:r>
    </w:p>
    <w:p w14:paraId="7A17356E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32" w:name="_Toc1000"/>
      <w:bookmarkStart w:id="33" w:name="_Toc20414"/>
      <w:bookmarkStart w:id="34" w:name="_Toc2525"/>
      <w:bookmarkStart w:id="35" w:name="heading_6"/>
      <w:bookmarkStart w:id="36" w:name="_Toc4238"/>
      <w:r>
        <w:rPr>
          <w:rFonts w:hint="eastAsia" w:ascii="宋体" w:hAnsi="宋体" w:eastAsia="宋体" w:cs="宋体"/>
          <w:b/>
          <w:bCs/>
          <w:sz w:val="28"/>
          <w:szCs w:val="28"/>
        </w:rPr>
        <w:t>编制原则</w:t>
      </w:r>
      <w:bookmarkEnd w:id="32"/>
      <w:bookmarkEnd w:id="33"/>
      <w:bookmarkEnd w:id="34"/>
      <w:bookmarkEnd w:id="35"/>
      <w:bookmarkEnd w:id="36"/>
    </w:p>
    <w:p w14:paraId="075816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/>
        <w:textAlignment w:val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本标准坚持“医改牵动、价值引领，统筹规划、急用先行，机制跟进、安全可控”原则，统一医疗服务、公共卫生、医疗保障、药品监管四大业务域数据采集标准。围绕人、物、财、专业技术人才四大核心要素，构建全周期、全链路数据归集体系：以居民身份唯一标识串联全生命周期健康与就诊数据；依托药械唯一标识实现医药耗材全流程追溯；基于项目全周期规范财务数据归集；统一归集卫生技术人员从业相关信息，实现一数一源、一次采集、多方复用。同时在标准编制时遵循以下原则。</w:t>
      </w:r>
    </w:p>
    <w:p w14:paraId="54BA80AC">
      <w:pPr>
        <w:rPr>
          <w:rFonts w:hint="eastAsia"/>
        </w:rPr>
      </w:pPr>
    </w:p>
    <w:p w14:paraId="5CFB2695">
      <w:pPr>
        <w:pStyle w:val="11"/>
        <w:numPr>
          <w:ilvl w:val="0"/>
          <w:numId w:val="4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国标行标优先</w:t>
      </w:r>
      <w:r>
        <w:rPr>
          <w:rFonts w:hint="eastAsia" w:ascii="宋体" w:hAnsi="宋体" w:eastAsia="宋体" w:cs="宋体"/>
          <w:sz w:val="24"/>
          <w:szCs w:val="24"/>
        </w:rPr>
        <w:t>：基础数据集、数据元值域代码优先采用国标、行标，三医不一致时优先采用国标，本地化扩展保留国标、行标原有编码结构，便于追溯</w:t>
      </w:r>
    </w:p>
    <w:p w14:paraId="333775AE">
      <w:pPr>
        <w:pStyle w:val="11"/>
        <w:numPr>
          <w:ilvl w:val="0"/>
          <w:numId w:val="4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数据源驱动</w:t>
      </w:r>
      <w:r>
        <w:rPr>
          <w:rFonts w:hint="eastAsia" w:ascii="宋体" w:hAnsi="宋体" w:eastAsia="宋体" w:cs="宋体"/>
          <w:sz w:val="24"/>
          <w:szCs w:val="24"/>
        </w:rPr>
        <w:t>：以</w:t>
      </w:r>
      <w:r>
        <w:rPr>
          <w:rFonts w:hint="eastAsia" w:ascii="宋体" w:hAnsi="宋体" w:eastAsia="宋体" w:cs="宋体"/>
          <w:b/>
          <w:sz w:val="24"/>
          <w:szCs w:val="24"/>
        </w:rPr>
        <w:t>数据来源</w:t>
      </w:r>
      <w:r>
        <w:rPr>
          <w:rFonts w:hint="eastAsia" w:ascii="宋体" w:hAnsi="宋体" w:eastAsia="宋体" w:cs="宋体"/>
          <w:sz w:val="24"/>
          <w:szCs w:val="24"/>
        </w:rPr>
        <w:t>作为数据集划分依据，一数一源</w:t>
      </w:r>
      <w:r>
        <w:rPr>
          <w:rFonts w:hint="eastAsia" w:ascii="宋体" w:hAnsi="宋体" w:cs="宋体"/>
          <w:sz w:val="24"/>
          <w:szCs w:val="24"/>
          <w:lang w:eastAsia="zh-CN"/>
        </w:rPr>
        <w:t>，一次采集，多方复用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  <w:lang w:eastAsia="zh-CN"/>
        </w:rPr>
        <w:t>减少</w:t>
      </w:r>
      <w:r>
        <w:rPr>
          <w:rFonts w:hint="eastAsia" w:ascii="宋体" w:hAnsi="宋体" w:eastAsia="宋体" w:cs="宋体"/>
          <w:sz w:val="24"/>
          <w:szCs w:val="24"/>
        </w:rPr>
        <w:t>数据重复采集；</w:t>
      </w:r>
    </w:p>
    <w:p w14:paraId="45D7681E">
      <w:pPr>
        <w:pStyle w:val="11"/>
        <w:numPr>
          <w:ilvl w:val="0"/>
          <w:numId w:val="4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统一值域代码</w:t>
      </w:r>
      <w:r>
        <w:rPr>
          <w:rFonts w:hint="eastAsia" w:ascii="宋体" w:hAnsi="宋体" w:eastAsia="宋体" w:cs="宋体"/>
          <w:sz w:val="24"/>
          <w:szCs w:val="24"/>
        </w:rPr>
        <w:t>：搭建全域统一值域代码库，数据项引用统一数据元标准值域代码，禁止自定义离散代码；</w:t>
      </w:r>
    </w:p>
    <w:p w14:paraId="2B21FF93">
      <w:pPr>
        <w:pStyle w:val="11"/>
        <w:numPr>
          <w:ilvl w:val="0"/>
          <w:numId w:val="4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统一命名规范</w:t>
      </w:r>
      <w:r>
        <w:rPr>
          <w:rFonts w:hint="eastAsia" w:ascii="宋体" w:hAnsi="宋体" w:eastAsia="宋体" w:cs="宋体"/>
          <w:sz w:val="24"/>
          <w:szCs w:val="24"/>
        </w:rPr>
        <w:t>：数据表、数据元统一规范进行命名，统一格式，避免歧义；</w:t>
      </w:r>
    </w:p>
    <w:p w14:paraId="743CDB0A">
      <w:pPr>
        <w:pStyle w:val="11"/>
        <w:numPr>
          <w:ilvl w:val="0"/>
          <w:numId w:val="4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分层可管</w:t>
      </w:r>
      <w:r>
        <w:rPr>
          <w:rFonts w:hint="eastAsia" w:ascii="宋体" w:hAnsi="宋体" w:eastAsia="宋体" w:cs="宋体"/>
          <w:sz w:val="24"/>
          <w:szCs w:val="24"/>
        </w:rPr>
        <w:t>：值域包括全局值域代码和行业值域代码，分层多级管理；数据集根据数据来源、机构类型、机构级别等维度定义采集范围，按需采集、分层管理；</w:t>
      </w:r>
    </w:p>
    <w:p w14:paraId="794751F5">
      <w:pPr>
        <w:pStyle w:val="11"/>
        <w:numPr>
          <w:ilvl w:val="0"/>
          <w:numId w:val="4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安全留痕</w:t>
      </w:r>
      <w:r>
        <w:rPr>
          <w:rFonts w:hint="eastAsia" w:ascii="宋体" w:hAnsi="宋体" w:eastAsia="宋体" w:cs="宋体"/>
          <w:sz w:val="24"/>
          <w:szCs w:val="24"/>
        </w:rPr>
        <w:t>：数据表统一配置全局管理字段，实现全量数据全生命周期追溯审计。</w:t>
      </w:r>
    </w:p>
    <w:p w14:paraId="0849D8D5">
      <w:pPr>
        <w:pStyle w:val="11"/>
        <w:numPr>
          <w:ilvl w:val="0"/>
          <w:numId w:val="4"/>
        </w:numPr>
        <w:spacing w:before="0" w:after="0" w:line="360" w:lineRule="auto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动态更新：</w:t>
      </w:r>
      <w:r>
        <w:rPr>
          <w:rFonts w:hint="eastAsia" w:ascii="宋体" w:hAnsi="宋体" w:cs="宋体"/>
          <w:b w:val="0"/>
          <w:sz w:val="24"/>
          <w:szCs w:val="24"/>
          <w:lang w:eastAsia="zh-CN"/>
        </w:rPr>
        <w:t>统筹业务应用需求，按照急用先行原则，对数据采集规范动态更新，持续完善。</w:t>
      </w:r>
    </w:p>
    <w:p w14:paraId="0C868967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37" w:name="_Toc3210"/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参照标准</w:t>
      </w:r>
      <w:bookmarkEnd w:id="37"/>
    </w:p>
    <w:p w14:paraId="365C8905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国家智慧健康核心数据集采集方案（医院版）</w:t>
      </w:r>
    </w:p>
    <w:p w14:paraId="33F83890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河南省智慧健康数据采集标准规范（2026版）</w:t>
      </w:r>
    </w:p>
    <w:p w14:paraId="66638A0C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WS/T370—2022卫生健康信息基本数据集编制标准</w:t>
      </w:r>
    </w:p>
    <w:p w14:paraId="46E23AA5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WS/T305—2023卫生健康信息数据集元数据标准</w:t>
      </w:r>
    </w:p>
    <w:p w14:paraId="7AC184CB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WS364.3卫生信息数据元值域代码</w:t>
      </w:r>
    </w:p>
    <w:p w14:paraId="1A432123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XJ-C01.1-2134医保网络安全和信息化标准</w:t>
      </w:r>
    </w:p>
    <w:p w14:paraId="0DEA6F88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XJ-A01-2019医疗保障信息平台云计算平台规范</w:t>
      </w:r>
    </w:p>
    <w:p w14:paraId="3DB0AB80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XJ-B01-2019医疗保障信息平台应用系统技术架构规范</w:t>
      </w:r>
    </w:p>
    <w:p w14:paraId="3CA6A7BD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NMPAB/T1001—2019药品信息化追溯体系建设导则</w:t>
      </w:r>
    </w:p>
    <w:p w14:paraId="5FE2EA1D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NMPAB/T1004—2019疫苗追溯基本数据集</w:t>
      </w:r>
    </w:p>
    <w:p w14:paraId="5EE81EFD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NMPAB/T1007—2019国家药品监督管理局信息化标准</w:t>
      </w:r>
    </w:p>
    <w:p w14:paraId="026C1F2D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NMPAB/T1008—2019药品使用单位追溯基本数据集</w:t>
      </w:r>
    </w:p>
    <w:p w14:paraId="681E53F8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NMPAB/T1006—2019药品上市许可持有人和生产企业追溯基本数据集</w:t>
      </w:r>
    </w:p>
    <w:p w14:paraId="15AC8C7F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NMPAB/T1009—2019药品追溯消费者查询基本数据集</w:t>
      </w:r>
    </w:p>
    <w:p w14:paraId="19CECCBF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NMPAB/T33304—2025医疗器械经营许可与备案管理基本数据集</w:t>
      </w:r>
    </w:p>
    <w:p w14:paraId="4D387A05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NMPAB/T33301—2025医疗器械生产许可与备案管理基本数据集</w:t>
      </w:r>
    </w:p>
    <w:p w14:paraId="7672F510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NMPAB/T33302—2023医疗器械注册与备案管理基本数据集</w:t>
      </w:r>
    </w:p>
    <w:p w14:paraId="1E3CA50F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NMPAB/T31203—2023医疗器械（含体外诊断试剂）监管信息基础数据元</w:t>
      </w:r>
    </w:p>
    <w:p w14:paraId="0FA03243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NMPAB/T31303.1—2022医疗器械（含体外诊断试剂）监管信息基础数据元值域代码</w:t>
      </w:r>
    </w:p>
    <w:p w14:paraId="0B1B65E3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NMPAB/T0307.2—2022普通化妆品备案管理基本数据集</w:t>
      </w:r>
    </w:p>
    <w:p w14:paraId="2151DFE8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NMPAB/T33303—2023体外诊断试剂注册与备案管理基本数据集</w:t>
      </w:r>
    </w:p>
    <w:p w14:paraId="27A98C64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NMPAB/T0307.1—2022化妆品生产许可管理基本数据集</w:t>
      </w:r>
    </w:p>
    <w:p w14:paraId="56479BE4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NMPAB/T03015.1—2022化妆品监管信息基础数据元</w:t>
      </w:r>
    </w:p>
    <w:p w14:paraId="7FE27953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海南省三医联动平台_数据采集标准规范-试行版</w:t>
      </w:r>
    </w:p>
    <w:p w14:paraId="334E55E0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湖南省三医数据采集标准</w:t>
      </w:r>
    </w:p>
    <w:p w14:paraId="77057A5E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DB32/T4155.9—2021江苏省全民健康信息平台共享数据集规范</w:t>
      </w:r>
    </w:p>
    <w:p w14:paraId="56590670">
      <w:pPr>
        <w:pStyle w:val="11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42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DB4403/T497—2024深圳市全民健康信息平台医疗服务数据采集规范</w:t>
      </w:r>
    </w:p>
    <w:p w14:paraId="356B506C">
      <w:pPr>
        <w:pStyle w:val="2"/>
        <w:bidi w:val="0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38" w:name="heading_8"/>
      <w:bookmarkStart w:id="39" w:name="_Toc19438"/>
      <w:bookmarkStart w:id="40" w:name="_Toc29767"/>
      <w:bookmarkStart w:id="41" w:name="_Toc27898"/>
      <w:bookmarkStart w:id="42" w:name="_Toc21720"/>
      <w:r>
        <w:rPr>
          <w:rFonts w:hint="eastAsia" w:ascii="宋体" w:hAnsi="宋体" w:eastAsia="宋体" w:cs="宋体"/>
          <w:b/>
          <w:bCs/>
          <w:sz w:val="30"/>
          <w:szCs w:val="30"/>
        </w:rPr>
        <w:t>编制过程</w:t>
      </w:r>
      <w:bookmarkEnd w:id="38"/>
      <w:bookmarkEnd w:id="39"/>
      <w:bookmarkEnd w:id="40"/>
      <w:bookmarkEnd w:id="41"/>
      <w:bookmarkEnd w:id="42"/>
    </w:p>
    <w:p w14:paraId="67B2A4A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整体编制周期：2026年4月—2026年7月，分四个阶段进行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52A6DC4E">
      <w:pPr>
        <w:pStyle w:val="3"/>
        <w:spacing w:before="120" w:after="120" w:line="360" w:lineRule="auto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43" w:name="_Toc8268"/>
      <w:bookmarkStart w:id="44" w:name="_Toc5077"/>
      <w:bookmarkStart w:id="45" w:name="_Toc16389"/>
      <w:r>
        <w:rPr>
          <w:rFonts w:hint="eastAsia" w:ascii="宋体" w:hAnsi="宋体" w:eastAsia="宋体" w:cs="宋体"/>
          <w:b/>
          <w:bCs/>
          <w:sz w:val="28"/>
          <w:szCs w:val="28"/>
        </w:rPr>
        <w:t>第一阶段（2026年4月：标准梳理）</w:t>
      </w:r>
      <w:bookmarkEnd w:id="43"/>
      <w:bookmarkEnd w:id="44"/>
      <w:bookmarkEnd w:id="45"/>
    </w:p>
    <w:p w14:paraId="6E5DF3B3">
      <w:pPr>
        <w:pStyle w:val="11"/>
        <w:spacing w:before="0" w:after="0"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组建卫健、医保、药监跨部门工作组，全面归集现行国家、行业标准，实地走访各级医院、医保经办机构、药企、疾控中心；按照卫健、医保、药监梳理业务需求，确定</w:t>
      </w:r>
      <w:r>
        <w:rPr>
          <w:rFonts w:hint="eastAsia" w:ascii="宋体" w:hAnsi="宋体" w:cs="宋体"/>
          <w:sz w:val="24"/>
          <w:szCs w:val="24"/>
          <w:lang w:eastAsia="zh-CN"/>
        </w:rPr>
        <w:t>包括基础</w:t>
      </w:r>
      <w:r>
        <w:rPr>
          <w:rFonts w:hint="eastAsia" w:ascii="宋体" w:hAnsi="宋体" w:eastAsia="宋体" w:cs="宋体"/>
          <w:sz w:val="24"/>
          <w:szCs w:val="24"/>
        </w:rPr>
        <w:t>数据</w:t>
      </w:r>
      <w:r>
        <w:rPr>
          <w:rFonts w:hint="eastAsia" w:ascii="宋体" w:hAnsi="宋体" w:cs="宋体"/>
          <w:sz w:val="24"/>
          <w:szCs w:val="24"/>
          <w:lang w:eastAsia="zh-CN"/>
        </w:rPr>
        <w:t>字典、数据元值域代码、共享数据集和数据采集规范的“三医一张网”数据标准体系框架，制定</w:t>
      </w:r>
      <w:r>
        <w:rPr>
          <w:rFonts w:hint="eastAsia" w:ascii="宋体" w:hAnsi="宋体" w:eastAsia="宋体" w:cs="宋体"/>
          <w:sz w:val="24"/>
          <w:szCs w:val="24"/>
        </w:rPr>
        <w:t>整体编制计划。</w:t>
      </w:r>
    </w:p>
    <w:p w14:paraId="7ED71AB1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46" w:name="_Toc24009"/>
      <w:bookmarkStart w:id="47" w:name="_Toc21248"/>
      <w:bookmarkStart w:id="48" w:name="_Toc20468"/>
      <w:r>
        <w:rPr>
          <w:rFonts w:hint="eastAsia" w:ascii="宋体" w:hAnsi="宋体" w:eastAsia="宋体" w:cs="宋体"/>
          <w:b/>
          <w:bCs/>
          <w:sz w:val="28"/>
          <w:szCs w:val="28"/>
        </w:rPr>
        <w:t>第二阶段（2026年5月：值域代码、标准字典编制）</w:t>
      </w:r>
      <w:bookmarkEnd w:id="46"/>
      <w:bookmarkEnd w:id="47"/>
      <w:bookmarkEnd w:id="48"/>
    </w:p>
    <w:p w14:paraId="3E711C60">
      <w:pPr>
        <w:pStyle w:val="11"/>
        <w:spacing w:before="0" w:after="0" w:line="360" w:lineRule="auto"/>
        <w:ind w:left="0"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依据“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三医一张网</w:t>
      </w:r>
      <w:r>
        <w:rPr>
          <w:rFonts w:hint="eastAsia" w:ascii="宋体" w:hAnsi="宋体" w:cs="宋体"/>
          <w:sz w:val="24"/>
          <w:szCs w:val="24"/>
          <w:lang w:eastAsia="zh-CN"/>
        </w:rPr>
        <w:t>”数据标准体系</w:t>
      </w:r>
      <w:r>
        <w:rPr>
          <w:rFonts w:hint="eastAsia" w:ascii="宋体" w:hAnsi="宋体" w:eastAsia="宋体" w:cs="宋体"/>
          <w:sz w:val="24"/>
          <w:szCs w:val="24"/>
        </w:rPr>
        <w:t>框架，建立“统一主数据+双向映射+分级管控+动态维护”值域体系。坚持“先内后外、先横后纵、对标统一、分步治理、闭环落地”的总体原则，以标准化治理、数据互通、业务协同为核心导向，采取国家GB标准优先，</w:t>
      </w:r>
      <w:r>
        <w:rPr>
          <w:rFonts w:hint="eastAsia" w:ascii="宋体" w:hAnsi="宋体" w:cs="宋体"/>
          <w:sz w:val="24"/>
          <w:szCs w:val="24"/>
          <w:lang w:eastAsia="zh-CN"/>
        </w:rPr>
        <w:t>以及</w:t>
      </w:r>
      <w:r>
        <w:rPr>
          <w:rFonts w:hint="eastAsia" w:ascii="宋体" w:hAnsi="宋体" w:eastAsia="宋体" w:cs="宋体"/>
          <w:sz w:val="24"/>
          <w:szCs w:val="24"/>
        </w:rPr>
        <w:t>卫</w:t>
      </w:r>
      <w:r>
        <w:rPr>
          <w:rFonts w:hint="eastAsia" w:ascii="宋体" w:hAnsi="宋体" w:cs="宋体"/>
          <w:sz w:val="24"/>
          <w:szCs w:val="24"/>
          <w:lang w:eastAsia="zh-CN"/>
        </w:rPr>
        <w:t>生</w:t>
      </w:r>
      <w:r>
        <w:rPr>
          <w:rFonts w:hint="eastAsia" w:ascii="宋体" w:hAnsi="宋体" w:eastAsia="宋体" w:cs="宋体"/>
          <w:sz w:val="24"/>
          <w:szCs w:val="24"/>
        </w:rPr>
        <w:t>健</w:t>
      </w:r>
      <w:r>
        <w:rPr>
          <w:rFonts w:hint="eastAsia" w:ascii="宋体" w:hAnsi="宋体" w:cs="宋体"/>
          <w:sz w:val="24"/>
          <w:szCs w:val="24"/>
          <w:lang w:eastAsia="zh-CN"/>
        </w:rPr>
        <w:t>康行业标准规范</w:t>
      </w:r>
      <w:r>
        <w:rPr>
          <w:rFonts w:hint="eastAsia" w:ascii="宋体" w:hAnsi="宋体" w:eastAsia="宋体" w:cs="宋体"/>
          <w:sz w:val="24"/>
          <w:szCs w:val="24"/>
        </w:rPr>
        <w:t>WS/T364-2023、国家卫健委智慧健康核心数据集基础数据值域代码（字典），国家医保22项编码，疾控WS/T364+传染病监测系统，药监药品/耗材国标+UDI，全面梳理五部门值域体系差异，建立统一规范的</w:t>
      </w:r>
      <w:r>
        <w:rPr>
          <w:rFonts w:hint="eastAsia" w:ascii="宋体" w:hAnsi="宋体" w:cs="宋体"/>
          <w:sz w:val="24"/>
          <w:szCs w:val="24"/>
          <w:lang w:eastAsia="zh-CN"/>
        </w:rPr>
        <w:t>基础数据字典和数据元</w:t>
      </w:r>
      <w:r>
        <w:rPr>
          <w:rFonts w:hint="eastAsia" w:ascii="宋体" w:hAnsi="宋体" w:eastAsia="宋体" w:cs="宋体"/>
          <w:sz w:val="24"/>
          <w:szCs w:val="24"/>
        </w:rPr>
        <w:t>值域</w:t>
      </w:r>
      <w:r>
        <w:rPr>
          <w:rFonts w:hint="eastAsia" w:ascii="宋体" w:hAnsi="宋体" w:cs="宋体"/>
          <w:sz w:val="24"/>
          <w:szCs w:val="24"/>
          <w:lang w:eastAsia="zh-CN"/>
        </w:rPr>
        <w:t>代码</w:t>
      </w:r>
      <w:r>
        <w:rPr>
          <w:rFonts w:hint="eastAsia" w:ascii="宋体" w:hAnsi="宋体" w:eastAsia="宋体" w:cs="宋体"/>
          <w:sz w:val="24"/>
          <w:szCs w:val="24"/>
        </w:rPr>
        <w:t>标准。</w:t>
      </w:r>
    </w:p>
    <w:p w14:paraId="1B825C73">
      <w:pPr>
        <w:pStyle w:val="11"/>
        <w:numPr>
          <w:ilvl w:val="0"/>
          <w:numId w:val="6"/>
        </w:numPr>
        <w:spacing w:before="0" w:after="0"/>
        <w:ind w:left="0" w:firstLine="482" w:firstLineChars="20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分层对比，有序推进</w:t>
      </w:r>
      <w:r>
        <w:rPr>
          <w:rFonts w:hint="eastAsia" w:ascii="宋体" w:hAnsi="宋体" w:eastAsia="宋体" w:cs="宋体"/>
          <w:sz w:val="24"/>
          <w:szCs w:val="24"/>
        </w:rPr>
        <w:t>。第一步开展横向内部对比：分别完成</w:t>
      </w:r>
      <w:r>
        <w:rPr>
          <w:rFonts w:hint="eastAsia" w:ascii="宋体" w:hAnsi="宋体" w:cs="宋体"/>
          <w:sz w:val="24"/>
          <w:szCs w:val="24"/>
          <w:lang w:eastAsia="zh-CN"/>
        </w:rPr>
        <w:t>医疗</w:t>
      </w:r>
      <w:r>
        <w:rPr>
          <w:rFonts w:hint="eastAsia" w:ascii="宋体" w:hAnsi="宋体" w:eastAsia="宋体" w:cs="宋体"/>
          <w:sz w:val="24"/>
          <w:szCs w:val="24"/>
        </w:rPr>
        <w:t>、医保、公卫、疾控、药监单部门内部值域横向比对，梳理各部门内部值域冲突、冗余、缺失、不规范问题，完成单部门值域</w:t>
      </w:r>
      <w:r>
        <w:rPr>
          <w:rFonts w:hint="eastAsia" w:ascii="宋体" w:hAnsi="宋体" w:cs="宋体"/>
          <w:sz w:val="24"/>
          <w:szCs w:val="24"/>
          <w:lang w:eastAsia="zh-CN"/>
        </w:rPr>
        <w:t>代码</w:t>
      </w:r>
      <w:r>
        <w:rPr>
          <w:rFonts w:hint="eastAsia" w:ascii="宋体" w:hAnsi="宋体" w:eastAsia="宋体" w:cs="宋体"/>
          <w:sz w:val="24"/>
          <w:szCs w:val="24"/>
        </w:rPr>
        <w:t>自查整改，夯实部门内部数据标准化基础。第二步开展纵向跨部门对比：以</w:t>
      </w:r>
      <w:r>
        <w:rPr>
          <w:rFonts w:hint="eastAsia" w:ascii="宋体" w:hAnsi="宋体" w:cs="宋体"/>
          <w:sz w:val="24"/>
          <w:szCs w:val="24"/>
          <w:lang w:eastAsia="zh-CN"/>
        </w:rPr>
        <w:t>医疗领域</w:t>
      </w:r>
      <w:r>
        <w:rPr>
          <w:rFonts w:hint="eastAsia" w:ascii="宋体" w:hAnsi="宋体" w:eastAsia="宋体" w:cs="宋体"/>
          <w:sz w:val="24"/>
          <w:szCs w:val="24"/>
        </w:rPr>
        <w:t>值域</w:t>
      </w:r>
      <w:r>
        <w:rPr>
          <w:rFonts w:hint="eastAsia" w:ascii="宋体" w:hAnsi="宋体" w:cs="宋体"/>
          <w:sz w:val="24"/>
          <w:szCs w:val="24"/>
          <w:lang w:eastAsia="zh-CN"/>
        </w:rPr>
        <w:t>代码</w:t>
      </w:r>
      <w:r>
        <w:rPr>
          <w:rFonts w:hint="eastAsia" w:ascii="宋体" w:hAnsi="宋体" w:eastAsia="宋体" w:cs="宋体"/>
          <w:sz w:val="24"/>
          <w:szCs w:val="24"/>
        </w:rPr>
        <w:t>为核心基准，分别与医保、公卫、疾控、药监值域逐一开展纵向对标比对，精准定位跨部门值域差异点、冲突点、空白点。</w:t>
      </w:r>
    </w:p>
    <w:p w14:paraId="3418DF9B">
      <w:pPr>
        <w:pStyle w:val="11"/>
        <w:numPr>
          <w:ilvl w:val="0"/>
          <w:numId w:val="6"/>
        </w:numPr>
        <w:spacing w:before="0" w:after="0"/>
        <w:ind w:left="0" w:firstLine="482" w:firstLineChars="20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对标合规，统一标准</w:t>
      </w:r>
      <w:r>
        <w:rPr>
          <w:rFonts w:hint="eastAsia" w:ascii="宋体" w:hAnsi="宋体" w:eastAsia="宋体" w:cs="宋体"/>
          <w:sz w:val="24"/>
          <w:szCs w:val="24"/>
        </w:rPr>
        <w:t>。严格遵循国家</w:t>
      </w:r>
      <w:r>
        <w:rPr>
          <w:rFonts w:hint="eastAsia" w:ascii="宋体" w:hAnsi="宋体" w:cs="宋体"/>
          <w:sz w:val="24"/>
          <w:szCs w:val="24"/>
          <w:lang w:eastAsia="zh-CN"/>
        </w:rPr>
        <w:t>标准以及</w:t>
      </w:r>
      <w:r>
        <w:rPr>
          <w:rFonts w:hint="eastAsia" w:ascii="宋体" w:hAnsi="宋体" w:eastAsia="宋体" w:cs="宋体"/>
          <w:sz w:val="24"/>
          <w:szCs w:val="24"/>
        </w:rPr>
        <w:t>省医疗健康、医保保障、公共卫生、疾病防控、药械监管行业标准，结合三医一张网建设规范，在对比过程中发现的差异问题分类处置，保留合规通用值域、修正冲突值域、补充缺失值域、淘汰冗余值域，形成全域统一、唯一权威、适配全业务场景的</w:t>
      </w:r>
      <w:r>
        <w:rPr>
          <w:rFonts w:hint="eastAsia" w:ascii="宋体" w:hAnsi="宋体" w:cs="宋体"/>
          <w:sz w:val="24"/>
          <w:szCs w:val="24"/>
          <w:lang w:eastAsia="zh-CN"/>
        </w:rPr>
        <w:t>基础数据字典和数据元</w:t>
      </w:r>
      <w:r>
        <w:rPr>
          <w:rFonts w:hint="eastAsia" w:ascii="宋体" w:hAnsi="宋体" w:eastAsia="宋体" w:cs="宋体"/>
          <w:sz w:val="24"/>
          <w:szCs w:val="24"/>
        </w:rPr>
        <w:t>值域</w:t>
      </w:r>
      <w:r>
        <w:rPr>
          <w:rFonts w:hint="eastAsia" w:ascii="宋体" w:hAnsi="宋体" w:cs="宋体"/>
          <w:sz w:val="24"/>
          <w:szCs w:val="24"/>
          <w:lang w:eastAsia="zh-CN"/>
        </w:rPr>
        <w:t>代码</w:t>
      </w:r>
      <w:r>
        <w:rPr>
          <w:rFonts w:hint="eastAsia" w:ascii="宋体" w:hAnsi="宋体" w:eastAsia="宋体" w:cs="宋体"/>
          <w:sz w:val="24"/>
          <w:szCs w:val="24"/>
        </w:rPr>
        <w:t>体系。</w:t>
      </w:r>
    </w:p>
    <w:p w14:paraId="1CCA6AA0">
      <w:pPr>
        <w:pStyle w:val="11"/>
        <w:numPr>
          <w:ilvl w:val="0"/>
          <w:numId w:val="6"/>
        </w:numPr>
        <w:spacing w:before="0" w:after="0"/>
        <w:ind w:left="0" w:leftChars="0" w:firstLine="482" w:firstLineChars="20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闭环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治理，动态迭代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建立“梳理-对比-整改-校验-固化-更新”的全闭环值域治理机制，完成值域统一整改后，开展全域数据校验复核，确保各部门值域互通兼容，同步建立值域动态更新机制，适配业务政策调整、系统升级迭代需求，保障</w:t>
      </w:r>
      <w:r>
        <w:rPr>
          <w:rFonts w:hint="eastAsia" w:ascii="宋体" w:hAnsi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三医一张网</w:t>
      </w:r>
      <w:r>
        <w:rPr>
          <w:rFonts w:hint="eastAsia" w:ascii="宋体" w:hAnsi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数据长期规范运行。</w:t>
      </w:r>
    </w:p>
    <w:p w14:paraId="643FCBD9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49" w:name="_Toc16199"/>
      <w:bookmarkStart w:id="50" w:name="_Toc27809"/>
      <w:bookmarkStart w:id="51" w:name="_Toc2035"/>
      <w:r>
        <w:rPr>
          <w:rFonts w:hint="eastAsia" w:ascii="宋体" w:hAnsi="宋体" w:eastAsia="宋体" w:cs="宋体"/>
          <w:b/>
          <w:bCs/>
          <w:sz w:val="28"/>
          <w:szCs w:val="28"/>
        </w:rPr>
        <w:t>第三阶段（2026年6月：数据集编制）</w:t>
      </w:r>
      <w:bookmarkEnd w:id="49"/>
      <w:bookmarkEnd w:id="50"/>
      <w:bookmarkEnd w:id="51"/>
    </w:p>
    <w:p w14:paraId="53D84B71">
      <w:pPr>
        <w:pStyle w:val="11"/>
        <w:spacing w:before="0" w:after="0" w:line="360" w:lineRule="auto"/>
        <w:ind w:left="0"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以业务驱动、标准统一、一次采集、多方</w:t>
      </w:r>
      <w:r>
        <w:rPr>
          <w:rFonts w:hint="eastAsia" w:ascii="宋体" w:hAnsi="宋体" w:cs="宋体"/>
          <w:sz w:val="24"/>
          <w:szCs w:val="24"/>
          <w:lang w:eastAsia="zh-CN"/>
        </w:rPr>
        <w:t>复</w:t>
      </w:r>
      <w:r>
        <w:rPr>
          <w:rFonts w:hint="eastAsia" w:ascii="宋体" w:hAnsi="宋体" w:eastAsia="宋体" w:cs="宋体"/>
          <w:sz w:val="24"/>
          <w:szCs w:val="24"/>
        </w:rPr>
        <w:t>用、共建共享为核心原则，以国家标准为基准，统筹卫生健康、医保、药监等部门信息标准，统一数据采集规范，建立“三医”协同信息标准体系。以一人一档、一物一码为主索引，</w:t>
      </w:r>
      <w:r>
        <w:rPr>
          <w:rFonts w:hint="eastAsia" w:ascii="宋体" w:hAnsi="宋体" w:cs="宋体"/>
          <w:sz w:val="24"/>
          <w:szCs w:val="24"/>
          <w:lang w:eastAsia="zh-CN"/>
        </w:rPr>
        <w:t>结</w:t>
      </w:r>
      <w:r>
        <w:rPr>
          <w:rFonts w:hint="eastAsia" w:ascii="宋体" w:hAnsi="宋体" w:eastAsia="宋体" w:cs="宋体"/>
          <w:sz w:val="24"/>
          <w:szCs w:val="24"/>
        </w:rPr>
        <w:t>合医疗、医保、药监业务场景，</w:t>
      </w:r>
      <w:r>
        <w:rPr>
          <w:rFonts w:hint="eastAsia" w:ascii="宋体" w:hAnsi="宋体" w:cs="宋体"/>
          <w:sz w:val="24"/>
          <w:szCs w:val="24"/>
          <w:lang w:eastAsia="zh-CN"/>
        </w:rPr>
        <w:t>构建全周期、全链路数据归集体系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2AC87E4A">
      <w:pPr>
        <w:pStyle w:val="11"/>
        <w:spacing w:before="0" w:after="0" w:line="360" w:lineRule="auto"/>
        <w:ind w:left="0"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根据卫健、医保、药监现有数据集标准，结合业务确定数据采集边界，编制数据采集目录，确立数据采集来源和采集频率，对比三方数据元和值域，合并同类项，扩展个性化数据字段，建立关联关系，形成完整</w:t>
      </w:r>
      <w:r>
        <w:rPr>
          <w:rFonts w:hint="eastAsia" w:ascii="宋体" w:hAnsi="宋体" w:cs="宋体"/>
          <w:sz w:val="24"/>
          <w:szCs w:val="24"/>
          <w:lang w:eastAsia="zh-CN"/>
        </w:rPr>
        <w:t>共享</w:t>
      </w:r>
      <w:r>
        <w:rPr>
          <w:rFonts w:hint="eastAsia" w:ascii="宋体" w:hAnsi="宋体" w:eastAsia="宋体" w:cs="宋体"/>
          <w:sz w:val="24"/>
          <w:szCs w:val="24"/>
        </w:rPr>
        <w:t>数据集标准初稿。</w:t>
      </w:r>
    </w:p>
    <w:p w14:paraId="69AF7FF1">
      <w:pPr>
        <w:pStyle w:val="11"/>
        <w:numPr>
          <w:ilvl w:val="0"/>
          <w:numId w:val="7"/>
        </w:numPr>
        <w:spacing w:before="0" w:after="0"/>
        <w:ind w:left="0" w:firstLine="482" w:firstLineChars="20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横向对比，确立数据集采集范围</w:t>
      </w:r>
      <w:r>
        <w:rPr>
          <w:rFonts w:hint="eastAsia" w:ascii="宋体" w:hAnsi="宋体" w:eastAsia="宋体" w:cs="宋体"/>
          <w:sz w:val="24"/>
          <w:szCs w:val="24"/>
        </w:rPr>
        <w:t>。横向对比卫健、医保、药监现有数据集，结合业务需求，确定数据集采集范围，形成形成三医</w:t>
      </w:r>
      <w:r>
        <w:rPr>
          <w:rFonts w:hint="eastAsia" w:ascii="宋体" w:hAnsi="宋体" w:cs="宋体"/>
          <w:sz w:val="24"/>
          <w:szCs w:val="24"/>
          <w:lang w:eastAsia="zh-CN"/>
        </w:rPr>
        <w:t>共享</w:t>
      </w:r>
      <w:r>
        <w:rPr>
          <w:rFonts w:hint="eastAsia" w:ascii="宋体" w:hAnsi="宋体" w:eastAsia="宋体" w:cs="宋体"/>
          <w:sz w:val="24"/>
          <w:szCs w:val="24"/>
        </w:rPr>
        <w:t>数据集采集目录。</w:t>
      </w:r>
    </w:p>
    <w:p w14:paraId="0CCC4195">
      <w:pPr>
        <w:pStyle w:val="11"/>
        <w:numPr>
          <w:ilvl w:val="0"/>
          <w:numId w:val="7"/>
        </w:numPr>
        <w:spacing w:before="0" w:after="0"/>
        <w:ind w:left="0" w:firstLine="482" w:firstLineChars="20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纵向对比，确定数据元</w:t>
      </w:r>
      <w:r>
        <w:rPr>
          <w:rFonts w:hint="eastAsia" w:ascii="宋体" w:hAnsi="宋体" w:eastAsia="宋体" w:cs="宋体"/>
          <w:sz w:val="24"/>
          <w:szCs w:val="24"/>
        </w:rPr>
        <w:t>。严格遵循国家、卫健、医保、药械监管行业标准，仔细分析卫健、医保、药监的采集数据项，合并同类项，纵向扩展数据表数据项，实现一次采集、多方</w:t>
      </w:r>
      <w:r>
        <w:rPr>
          <w:rFonts w:hint="eastAsia" w:ascii="宋体" w:hAnsi="宋体" w:cs="宋体"/>
          <w:sz w:val="24"/>
          <w:szCs w:val="24"/>
          <w:lang w:eastAsia="zh-CN"/>
        </w:rPr>
        <w:t>复</w:t>
      </w:r>
      <w:r>
        <w:rPr>
          <w:rFonts w:hint="eastAsia" w:ascii="宋体" w:hAnsi="宋体" w:eastAsia="宋体" w:cs="宋体"/>
          <w:sz w:val="24"/>
          <w:szCs w:val="24"/>
        </w:rPr>
        <w:t>用。</w:t>
      </w:r>
    </w:p>
    <w:p w14:paraId="657236DC">
      <w:pPr>
        <w:pStyle w:val="11"/>
        <w:numPr>
          <w:ilvl w:val="0"/>
          <w:numId w:val="7"/>
        </w:numPr>
        <w:spacing w:before="0" w:after="0"/>
        <w:ind w:left="0" w:leftChars="0" w:firstLine="482" w:firstLineChars="20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统一标准，统一格式</w:t>
      </w:r>
      <w:r>
        <w:rPr>
          <w:rFonts w:hint="eastAsia" w:ascii="宋体" w:hAnsi="宋体" w:eastAsia="宋体" w:cs="宋体"/>
          <w:sz w:val="24"/>
          <w:szCs w:val="24"/>
        </w:rPr>
        <w:t>：制定数据集编制规范，统一值域代码和基础标准数据字典，按照标准格式整理数据集，附加管理字段，实现数据的可追溯。</w:t>
      </w:r>
    </w:p>
    <w:p w14:paraId="3D8F91E2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52" w:name="_Toc15837"/>
      <w:bookmarkStart w:id="53" w:name="_Toc7456"/>
      <w:bookmarkStart w:id="54" w:name="_Toc28973"/>
      <w:r>
        <w:rPr>
          <w:rFonts w:hint="eastAsia" w:ascii="宋体" w:hAnsi="宋体" w:eastAsia="宋体" w:cs="宋体"/>
          <w:b/>
          <w:bCs/>
          <w:sz w:val="28"/>
          <w:szCs w:val="28"/>
        </w:rPr>
        <w:t>第四阶段（2026年7月：专家评审与发布）</w:t>
      </w:r>
      <w:bookmarkEnd w:id="52"/>
      <w:bookmarkEnd w:id="53"/>
      <w:bookmarkEnd w:id="54"/>
    </w:p>
    <w:p w14:paraId="4BD88689">
      <w:pPr>
        <w:pStyle w:val="11"/>
        <w:spacing w:before="0" w:after="0"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组织标准化、医疗、医保、药监等多领域专家开展评审</w:t>
      </w:r>
      <w:r>
        <w:rPr>
          <w:rFonts w:hint="eastAsia" w:ascii="宋体" w:hAnsi="宋体" w:cs="宋体"/>
          <w:sz w:val="24"/>
          <w:szCs w:val="24"/>
          <w:lang w:eastAsia="zh-CN"/>
        </w:rPr>
        <w:t>和广泛征求意见</w:t>
      </w:r>
      <w:r>
        <w:rPr>
          <w:rFonts w:hint="eastAsia" w:ascii="宋体" w:hAnsi="宋体" w:eastAsia="宋体" w:cs="宋体"/>
          <w:sz w:val="24"/>
          <w:szCs w:val="24"/>
        </w:rPr>
        <w:t>，针对值域分类、数据集、数据表字段开展优化调整；修改完善后报送三医联动专班终审，审核通过后正式对外发布。</w:t>
      </w:r>
    </w:p>
    <w:p w14:paraId="68FADF63">
      <w:pPr>
        <w:pStyle w:val="2"/>
        <w:bidi w:val="0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55" w:name="_Toc5586"/>
      <w:bookmarkStart w:id="56" w:name="_Toc2172"/>
      <w:bookmarkStart w:id="57" w:name="_Toc13610"/>
      <w:bookmarkStart w:id="58" w:name="heading_9"/>
      <w:bookmarkStart w:id="59" w:name="_Toc23305"/>
      <w:r>
        <w:rPr>
          <w:rFonts w:hint="eastAsia" w:ascii="宋体" w:hAnsi="宋体" w:eastAsia="宋体" w:cs="宋体"/>
          <w:b/>
          <w:bCs/>
          <w:sz w:val="30"/>
          <w:szCs w:val="30"/>
        </w:rPr>
        <w:t>编制规范</w:t>
      </w:r>
      <w:bookmarkEnd w:id="55"/>
      <w:bookmarkEnd w:id="56"/>
      <w:bookmarkEnd w:id="57"/>
      <w:bookmarkEnd w:id="58"/>
      <w:bookmarkEnd w:id="59"/>
    </w:p>
    <w:p w14:paraId="0759BCE1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60" w:name="_Toc11298"/>
      <w:bookmarkStart w:id="61" w:name="_Toc22205"/>
      <w:bookmarkStart w:id="62" w:name="_Toc9890"/>
      <w:bookmarkStart w:id="63" w:name="_Toc12532"/>
      <w:r>
        <w:rPr>
          <w:rFonts w:hint="eastAsia" w:ascii="宋体" w:hAnsi="宋体" w:eastAsia="宋体" w:cs="宋体"/>
          <w:b/>
          <w:bCs/>
          <w:sz w:val="28"/>
          <w:szCs w:val="28"/>
        </w:rPr>
        <w:t>基础标准字典编制规范</w:t>
      </w:r>
      <w:bookmarkEnd w:id="60"/>
      <w:bookmarkEnd w:id="61"/>
      <w:bookmarkEnd w:id="62"/>
      <w:bookmarkEnd w:id="63"/>
    </w:p>
    <w:p w14:paraId="6C52B94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收集卫健、医保、药监三方基础标准字典，按照标准统一、减少改造、差异融合的思路形成25类三医基础标准字典，作为三医基础数据底座。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1275"/>
        <w:gridCol w:w="1891"/>
        <w:gridCol w:w="2039"/>
        <w:gridCol w:w="2828"/>
      </w:tblGrid>
      <w:tr w14:paraId="1A84B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77B230B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0517D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字典名称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70176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标准名称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3DA54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标准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  <w:t>来源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FA61B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对应文件名称</w:t>
            </w:r>
          </w:p>
        </w:tc>
      </w:tr>
      <w:tr w14:paraId="07CA3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6F69AB1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43D55B2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行政区划</w:t>
            </w:r>
          </w:p>
        </w:tc>
        <w:tc>
          <w:tcPr>
            <w:tcW w:w="0" w:type="auto"/>
          </w:tcPr>
          <w:p w14:paraId="6B170A9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河南省行政区划</w:t>
            </w:r>
          </w:p>
        </w:tc>
        <w:tc>
          <w:tcPr>
            <w:tcW w:w="0" w:type="auto"/>
          </w:tcPr>
          <w:p w14:paraId="6DFDFC6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采自计划生育系统，12位地区编码</w:t>
            </w:r>
          </w:p>
        </w:tc>
        <w:tc>
          <w:tcPr>
            <w:tcW w:w="0" w:type="auto"/>
          </w:tcPr>
          <w:p w14:paraId="43C8C21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1河南省行政区划-2025.xlsx</w:t>
            </w:r>
          </w:p>
        </w:tc>
      </w:tr>
      <w:tr w14:paraId="04ED2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73CCB38D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0F112BE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经办机构信息表</w:t>
            </w:r>
          </w:p>
        </w:tc>
        <w:tc>
          <w:tcPr>
            <w:tcW w:w="0" w:type="auto"/>
          </w:tcPr>
          <w:p w14:paraId="20CCE96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7022AA4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</w:tcPr>
          <w:p w14:paraId="7CEC00F2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255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</w:tcPr>
          <w:p w14:paraId="1A082AEE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Merge w:val="restart"/>
          </w:tcPr>
          <w:p w14:paraId="46639EA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医疗机构信息表</w:t>
            </w:r>
          </w:p>
        </w:tc>
        <w:tc>
          <w:tcPr>
            <w:tcW w:w="0" w:type="auto"/>
          </w:tcPr>
          <w:p w14:paraId="76CAAE0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医疗机构统一信用代码</w:t>
            </w:r>
          </w:p>
        </w:tc>
        <w:tc>
          <w:tcPr>
            <w:tcW w:w="0" w:type="auto"/>
          </w:tcPr>
          <w:p w14:paraId="5884482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采自卫生统计系统</w:t>
            </w:r>
          </w:p>
        </w:tc>
        <w:tc>
          <w:tcPr>
            <w:tcW w:w="0" w:type="auto"/>
          </w:tcPr>
          <w:p w14:paraId="65D187D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3医疗机构统一信用代码-2025.xlsx</w:t>
            </w:r>
          </w:p>
        </w:tc>
      </w:tr>
      <w:tr w14:paraId="3867C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0760D4C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28CFE40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4A6CE06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定点医疗机构代码</w:t>
            </w:r>
          </w:p>
        </w:tc>
        <w:tc>
          <w:tcPr>
            <w:tcW w:w="0" w:type="auto"/>
          </w:tcPr>
          <w:p w14:paraId="4DE997C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医保动态维护平台</w:t>
            </w:r>
          </w:p>
        </w:tc>
        <w:tc>
          <w:tcPr>
            <w:tcW w:w="0" w:type="auto"/>
          </w:tcPr>
          <w:p w14:paraId="157158C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5D6CA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00EA1AA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300D069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零售药店信息表</w:t>
            </w:r>
          </w:p>
        </w:tc>
        <w:tc>
          <w:tcPr>
            <w:tcW w:w="0" w:type="auto"/>
          </w:tcPr>
          <w:p w14:paraId="7EC339E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定点零售药店代码</w:t>
            </w:r>
          </w:p>
        </w:tc>
        <w:tc>
          <w:tcPr>
            <w:tcW w:w="0" w:type="auto"/>
          </w:tcPr>
          <w:p w14:paraId="2291573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医保动态维护平台</w:t>
            </w:r>
          </w:p>
        </w:tc>
        <w:tc>
          <w:tcPr>
            <w:tcW w:w="0" w:type="auto"/>
          </w:tcPr>
          <w:p w14:paraId="3CCB46E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05A7F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2D635B34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0" w:type="auto"/>
          </w:tcPr>
          <w:p w14:paraId="57AEA5B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经营机构目录</w:t>
            </w:r>
          </w:p>
        </w:tc>
        <w:tc>
          <w:tcPr>
            <w:tcW w:w="0" w:type="auto"/>
          </w:tcPr>
          <w:p w14:paraId="621856C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5AC6602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</w:tcPr>
          <w:p w14:paraId="0763405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96B7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177CCDA0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</w:t>
            </w:r>
          </w:p>
        </w:tc>
        <w:tc>
          <w:tcPr>
            <w:tcW w:w="0" w:type="auto"/>
          </w:tcPr>
          <w:p w14:paraId="29E928A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科室目录</w:t>
            </w:r>
          </w:p>
        </w:tc>
        <w:tc>
          <w:tcPr>
            <w:tcW w:w="0" w:type="auto"/>
          </w:tcPr>
          <w:p w14:paraId="70C8501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医疗卫生机构业务科室分类代码</w:t>
            </w:r>
          </w:p>
        </w:tc>
        <w:tc>
          <w:tcPr>
            <w:tcW w:w="0" w:type="auto"/>
          </w:tcPr>
          <w:p w14:paraId="4FB6B8D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2FDDC21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6.科室目录.xlsx</w:t>
            </w:r>
          </w:p>
        </w:tc>
      </w:tr>
      <w:tr w14:paraId="6F091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5C02D80C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</w:t>
            </w:r>
          </w:p>
        </w:tc>
        <w:tc>
          <w:tcPr>
            <w:tcW w:w="0" w:type="auto"/>
          </w:tcPr>
          <w:p w14:paraId="7427317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管理经办人员信息表</w:t>
            </w:r>
          </w:p>
        </w:tc>
        <w:tc>
          <w:tcPr>
            <w:tcW w:w="0" w:type="auto"/>
          </w:tcPr>
          <w:p w14:paraId="1EA11AF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259437E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</w:tcPr>
          <w:p w14:paraId="42310E9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88A5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</w:tcPr>
          <w:p w14:paraId="4B5FD96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</w:t>
            </w:r>
          </w:p>
        </w:tc>
        <w:tc>
          <w:tcPr>
            <w:tcW w:w="0" w:type="auto"/>
            <w:vMerge w:val="restart"/>
          </w:tcPr>
          <w:p w14:paraId="37232A4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医疗人员信息表</w:t>
            </w:r>
          </w:p>
        </w:tc>
        <w:tc>
          <w:tcPr>
            <w:tcW w:w="0" w:type="auto"/>
          </w:tcPr>
          <w:p w14:paraId="5B1A40B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医疗人员信息</w:t>
            </w:r>
          </w:p>
        </w:tc>
        <w:tc>
          <w:tcPr>
            <w:tcW w:w="0" w:type="auto"/>
          </w:tcPr>
          <w:p w14:paraId="19323CB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采自医疗机构信息系统</w:t>
            </w:r>
          </w:p>
        </w:tc>
        <w:tc>
          <w:tcPr>
            <w:tcW w:w="0" w:type="auto"/>
          </w:tcPr>
          <w:p w14:paraId="374F4EA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63D64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6E3D78B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474DA5E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08E3690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医保医师代码</w:t>
            </w:r>
          </w:p>
        </w:tc>
        <w:tc>
          <w:tcPr>
            <w:tcW w:w="0" w:type="auto"/>
          </w:tcPr>
          <w:p w14:paraId="174071D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医保动态维护平台</w:t>
            </w:r>
          </w:p>
        </w:tc>
        <w:tc>
          <w:tcPr>
            <w:tcW w:w="0" w:type="auto"/>
          </w:tcPr>
          <w:p w14:paraId="1E5CA94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43145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</w:tcPr>
          <w:p w14:paraId="2F4F150C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</w:t>
            </w:r>
          </w:p>
        </w:tc>
        <w:tc>
          <w:tcPr>
            <w:tcW w:w="0" w:type="auto"/>
            <w:vMerge w:val="restart"/>
          </w:tcPr>
          <w:p w14:paraId="07E73CA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医技人员信息表</w:t>
            </w:r>
          </w:p>
        </w:tc>
        <w:tc>
          <w:tcPr>
            <w:tcW w:w="0" w:type="auto"/>
          </w:tcPr>
          <w:p w14:paraId="4D0DF36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医技人员信息</w:t>
            </w:r>
          </w:p>
        </w:tc>
        <w:tc>
          <w:tcPr>
            <w:tcW w:w="0" w:type="auto"/>
          </w:tcPr>
          <w:p w14:paraId="2B40C85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采自医疗机构信息系统</w:t>
            </w:r>
          </w:p>
        </w:tc>
        <w:tc>
          <w:tcPr>
            <w:tcW w:w="0" w:type="auto"/>
          </w:tcPr>
          <w:p w14:paraId="6F524B0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5E7A0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7E19798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3259563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284C575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医保医技人员代码</w:t>
            </w:r>
          </w:p>
        </w:tc>
        <w:tc>
          <w:tcPr>
            <w:tcW w:w="0" w:type="auto"/>
          </w:tcPr>
          <w:p w14:paraId="13C0622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医保动态维护平台</w:t>
            </w:r>
          </w:p>
        </w:tc>
        <w:tc>
          <w:tcPr>
            <w:tcW w:w="0" w:type="auto"/>
          </w:tcPr>
          <w:p w14:paraId="5682441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66976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</w:tcPr>
          <w:p w14:paraId="0A95DC0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0" w:type="auto"/>
            <w:vMerge w:val="restart"/>
          </w:tcPr>
          <w:p w14:paraId="3227122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药学人员信息表</w:t>
            </w:r>
          </w:p>
        </w:tc>
        <w:tc>
          <w:tcPr>
            <w:tcW w:w="0" w:type="auto"/>
          </w:tcPr>
          <w:p w14:paraId="1FEFFD3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药学人员信息</w:t>
            </w:r>
          </w:p>
        </w:tc>
        <w:tc>
          <w:tcPr>
            <w:tcW w:w="0" w:type="auto"/>
          </w:tcPr>
          <w:p w14:paraId="54D216C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采自医药机构信息系统</w:t>
            </w:r>
          </w:p>
        </w:tc>
        <w:tc>
          <w:tcPr>
            <w:tcW w:w="0" w:type="auto"/>
          </w:tcPr>
          <w:p w14:paraId="1AC08412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10237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5A591B1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2771F74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5A27830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医保药师代码</w:t>
            </w:r>
          </w:p>
        </w:tc>
        <w:tc>
          <w:tcPr>
            <w:tcW w:w="0" w:type="auto"/>
          </w:tcPr>
          <w:p w14:paraId="38D9AA0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医保动态维护平台</w:t>
            </w:r>
          </w:p>
        </w:tc>
        <w:tc>
          <w:tcPr>
            <w:tcW w:w="0" w:type="auto"/>
          </w:tcPr>
          <w:p w14:paraId="115BF71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74E6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3C3C728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7601D5C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3F72B9A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医保药学人员代码</w:t>
            </w:r>
          </w:p>
        </w:tc>
        <w:tc>
          <w:tcPr>
            <w:tcW w:w="0" w:type="auto"/>
          </w:tcPr>
          <w:p w14:paraId="2F49732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医保动态维护平台</w:t>
            </w:r>
          </w:p>
        </w:tc>
        <w:tc>
          <w:tcPr>
            <w:tcW w:w="0" w:type="auto"/>
          </w:tcPr>
          <w:p w14:paraId="2FD40C3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10379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</w:tcPr>
          <w:p w14:paraId="482DD49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11</w:t>
            </w:r>
          </w:p>
        </w:tc>
        <w:tc>
          <w:tcPr>
            <w:tcW w:w="0" w:type="auto"/>
            <w:vMerge w:val="restart"/>
          </w:tcPr>
          <w:p w14:paraId="2141C73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护理人员信息表</w:t>
            </w:r>
          </w:p>
        </w:tc>
        <w:tc>
          <w:tcPr>
            <w:tcW w:w="0" w:type="auto"/>
          </w:tcPr>
          <w:p w14:paraId="7384C72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护理人员信息</w:t>
            </w:r>
          </w:p>
        </w:tc>
        <w:tc>
          <w:tcPr>
            <w:tcW w:w="0" w:type="auto"/>
          </w:tcPr>
          <w:p w14:paraId="47D8D6C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采自医疗机构信息系统</w:t>
            </w:r>
          </w:p>
        </w:tc>
        <w:tc>
          <w:tcPr>
            <w:tcW w:w="0" w:type="auto"/>
          </w:tcPr>
          <w:p w14:paraId="64B5096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28AB7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3FF85F1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3665ED5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7F4F34F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医保护士代码</w:t>
            </w:r>
          </w:p>
        </w:tc>
        <w:tc>
          <w:tcPr>
            <w:tcW w:w="0" w:type="auto"/>
          </w:tcPr>
          <w:p w14:paraId="1CAED19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医保动态维护平台</w:t>
            </w:r>
          </w:p>
        </w:tc>
        <w:tc>
          <w:tcPr>
            <w:tcW w:w="0" w:type="auto"/>
          </w:tcPr>
          <w:p w14:paraId="79AACDF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6A6C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545C9A24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12</w:t>
            </w:r>
          </w:p>
        </w:tc>
        <w:tc>
          <w:tcPr>
            <w:tcW w:w="0" w:type="auto"/>
          </w:tcPr>
          <w:p w14:paraId="7F9231B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西医疾病诊断代码</w:t>
            </w:r>
          </w:p>
        </w:tc>
        <w:tc>
          <w:tcPr>
            <w:tcW w:w="0" w:type="auto"/>
          </w:tcPr>
          <w:p w14:paraId="268B179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西医疾病诊断分类与代码</w:t>
            </w:r>
          </w:p>
        </w:tc>
        <w:tc>
          <w:tcPr>
            <w:tcW w:w="0" w:type="auto"/>
          </w:tcPr>
          <w:p w14:paraId="41160142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ICD-10国家临床版2.0</w:t>
            </w:r>
          </w:p>
        </w:tc>
        <w:tc>
          <w:tcPr>
            <w:tcW w:w="0" w:type="auto"/>
          </w:tcPr>
          <w:p w14:paraId="043B1A4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12西医疾病诊断代码.xlsx</w:t>
            </w:r>
          </w:p>
        </w:tc>
      </w:tr>
      <w:tr w14:paraId="44222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5E0B02BC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13</w:t>
            </w:r>
          </w:p>
        </w:tc>
        <w:tc>
          <w:tcPr>
            <w:tcW w:w="0" w:type="auto"/>
          </w:tcPr>
          <w:p w14:paraId="6774D84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手术操作分类代码</w:t>
            </w:r>
          </w:p>
        </w:tc>
        <w:tc>
          <w:tcPr>
            <w:tcW w:w="0" w:type="auto"/>
          </w:tcPr>
          <w:p w14:paraId="089966B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手术操作分类代码</w:t>
            </w:r>
          </w:p>
        </w:tc>
        <w:tc>
          <w:tcPr>
            <w:tcW w:w="0" w:type="auto"/>
          </w:tcPr>
          <w:p w14:paraId="0007702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ICD-9-CM3国家临床版3.0</w:t>
            </w:r>
          </w:p>
        </w:tc>
        <w:tc>
          <w:tcPr>
            <w:tcW w:w="0" w:type="auto"/>
          </w:tcPr>
          <w:p w14:paraId="3866359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13手术操作分类代码.xlsx</w:t>
            </w:r>
          </w:p>
        </w:tc>
      </w:tr>
      <w:tr w14:paraId="02452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</w:tcPr>
          <w:p w14:paraId="6CF5BEE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14</w:t>
            </w:r>
          </w:p>
        </w:tc>
        <w:tc>
          <w:tcPr>
            <w:tcW w:w="0" w:type="auto"/>
            <w:vMerge w:val="restart"/>
          </w:tcPr>
          <w:p w14:paraId="2AAA15D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三病种目录</w:t>
            </w:r>
          </w:p>
        </w:tc>
        <w:tc>
          <w:tcPr>
            <w:tcW w:w="0" w:type="auto"/>
          </w:tcPr>
          <w:p w14:paraId="5A1586B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医保按病种结算病种</w:t>
            </w:r>
          </w:p>
        </w:tc>
        <w:tc>
          <w:tcPr>
            <w:tcW w:w="0" w:type="auto"/>
          </w:tcPr>
          <w:p w14:paraId="06DD121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</w:t>
            </w:r>
          </w:p>
        </w:tc>
        <w:tc>
          <w:tcPr>
            <w:tcW w:w="0" w:type="auto"/>
          </w:tcPr>
          <w:p w14:paraId="6A0CA5E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14-1三病种目录-医保按病种结算病种-2025.xlsx</w:t>
            </w:r>
          </w:p>
        </w:tc>
      </w:tr>
      <w:tr w14:paraId="0942C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32033D0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4149ECA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4C086D6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医保门诊慢特病病种</w:t>
            </w:r>
          </w:p>
        </w:tc>
        <w:tc>
          <w:tcPr>
            <w:tcW w:w="0" w:type="auto"/>
          </w:tcPr>
          <w:p w14:paraId="7A58EA3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</w:t>
            </w:r>
          </w:p>
        </w:tc>
        <w:tc>
          <w:tcPr>
            <w:tcW w:w="0" w:type="auto"/>
          </w:tcPr>
          <w:p w14:paraId="401F3BB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14-2三病种目录-医保门诊慢特病病种-2025.xlsx</w:t>
            </w:r>
          </w:p>
        </w:tc>
      </w:tr>
      <w:tr w14:paraId="5D48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626337B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135DED3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1561CFC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医保日间手术病种</w:t>
            </w:r>
          </w:p>
        </w:tc>
        <w:tc>
          <w:tcPr>
            <w:tcW w:w="0" w:type="auto"/>
          </w:tcPr>
          <w:p w14:paraId="646D417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</w:t>
            </w:r>
          </w:p>
        </w:tc>
        <w:tc>
          <w:tcPr>
            <w:tcW w:w="0" w:type="auto"/>
          </w:tcPr>
          <w:p w14:paraId="4E74435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14-3三病种目录-医保日间手术病种-2025.xlsx</w:t>
            </w:r>
          </w:p>
        </w:tc>
      </w:tr>
      <w:tr w14:paraId="7FB37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42C1314B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15</w:t>
            </w:r>
          </w:p>
        </w:tc>
        <w:tc>
          <w:tcPr>
            <w:tcW w:w="0" w:type="auto"/>
          </w:tcPr>
          <w:p w14:paraId="088CEB9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预防接种目录</w:t>
            </w:r>
          </w:p>
        </w:tc>
        <w:tc>
          <w:tcPr>
            <w:tcW w:w="0" w:type="auto"/>
          </w:tcPr>
          <w:p w14:paraId="213664B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疫苗编码代码</w:t>
            </w:r>
          </w:p>
        </w:tc>
        <w:tc>
          <w:tcPr>
            <w:tcW w:w="0" w:type="auto"/>
          </w:tcPr>
          <w:p w14:paraId="3EC33D3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WS375.19-2016</w:t>
            </w:r>
          </w:p>
        </w:tc>
        <w:tc>
          <w:tcPr>
            <w:tcW w:w="0" w:type="auto"/>
          </w:tcPr>
          <w:p w14:paraId="6310344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15.预防接种目录.xlsx</w:t>
            </w:r>
          </w:p>
        </w:tc>
      </w:tr>
      <w:tr w14:paraId="1F510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</w:tcPr>
          <w:p w14:paraId="24316805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16</w:t>
            </w:r>
          </w:p>
        </w:tc>
        <w:tc>
          <w:tcPr>
            <w:tcW w:w="0" w:type="auto"/>
            <w:vMerge w:val="restart"/>
          </w:tcPr>
          <w:p w14:paraId="16703DF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检查检验项目目录</w:t>
            </w:r>
          </w:p>
        </w:tc>
        <w:tc>
          <w:tcPr>
            <w:tcW w:w="0" w:type="auto"/>
          </w:tcPr>
          <w:p w14:paraId="6B06F94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体检项目</w:t>
            </w:r>
          </w:p>
        </w:tc>
        <w:tc>
          <w:tcPr>
            <w:tcW w:w="0" w:type="auto"/>
          </w:tcPr>
          <w:p w14:paraId="05955DD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4E3D437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16-1体检项目.xlsx</w:t>
            </w:r>
          </w:p>
        </w:tc>
      </w:tr>
      <w:tr w14:paraId="270A6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036FBFF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7124185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10C6582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检查检验结果互认目录</w:t>
            </w:r>
          </w:p>
        </w:tc>
        <w:tc>
          <w:tcPr>
            <w:tcW w:w="0" w:type="auto"/>
          </w:tcPr>
          <w:p w14:paraId="2430EA4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0399317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16-2检查检验结果互认目录.xlsx</w:t>
            </w:r>
          </w:p>
        </w:tc>
      </w:tr>
      <w:tr w14:paraId="4023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</w:tcPr>
          <w:p w14:paraId="555CEB9D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17</w:t>
            </w:r>
          </w:p>
        </w:tc>
        <w:tc>
          <w:tcPr>
            <w:tcW w:w="0" w:type="auto"/>
            <w:vMerge w:val="restart"/>
          </w:tcPr>
          <w:p w14:paraId="68C7BAE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药品目录-西药、中成药目录</w:t>
            </w:r>
          </w:p>
        </w:tc>
        <w:tc>
          <w:tcPr>
            <w:tcW w:w="0" w:type="auto"/>
          </w:tcPr>
          <w:p w14:paraId="515B0E9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药品目录-西药、中成药：医保映射库</w:t>
            </w:r>
          </w:p>
        </w:tc>
        <w:tc>
          <w:tcPr>
            <w:tcW w:w="0" w:type="auto"/>
          </w:tcPr>
          <w:p w14:paraId="2D4B46F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2025版（20251114）</w:t>
            </w:r>
          </w:p>
        </w:tc>
        <w:tc>
          <w:tcPr>
            <w:tcW w:w="0" w:type="auto"/>
          </w:tcPr>
          <w:p w14:paraId="3BEE4D9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17-1药品目录-西药、中成药：医保映射库-20251114.xlsx</w:t>
            </w:r>
          </w:p>
        </w:tc>
      </w:tr>
      <w:tr w14:paraId="6375A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2F13D78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27413AE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0C7E75D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药品目录-西药、中成药：YPID_12.0</w:t>
            </w:r>
          </w:p>
        </w:tc>
        <w:tc>
          <w:tcPr>
            <w:tcW w:w="0" w:type="auto"/>
          </w:tcPr>
          <w:p w14:paraId="6A7C31A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202512122有效版本</w:t>
            </w:r>
          </w:p>
        </w:tc>
        <w:tc>
          <w:tcPr>
            <w:tcW w:w="0" w:type="auto"/>
          </w:tcPr>
          <w:p w14:paraId="39894DA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17-2药品目录-西药、中成药：YPID_12.0.xlsx</w:t>
            </w:r>
          </w:p>
        </w:tc>
      </w:tr>
      <w:tr w14:paraId="1E75A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3439B7C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18</w:t>
            </w:r>
          </w:p>
        </w:tc>
        <w:tc>
          <w:tcPr>
            <w:tcW w:w="0" w:type="auto"/>
          </w:tcPr>
          <w:p w14:paraId="254C7BC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药品目录-中药饮片目录</w:t>
            </w:r>
          </w:p>
        </w:tc>
        <w:tc>
          <w:tcPr>
            <w:tcW w:w="0" w:type="auto"/>
          </w:tcPr>
          <w:p w14:paraId="023642E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药品目录-中药饮片目录</w:t>
            </w:r>
          </w:p>
        </w:tc>
        <w:tc>
          <w:tcPr>
            <w:tcW w:w="0" w:type="auto"/>
          </w:tcPr>
          <w:p w14:paraId="76B0C90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20251208</w:t>
            </w:r>
          </w:p>
        </w:tc>
        <w:tc>
          <w:tcPr>
            <w:tcW w:w="0" w:type="auto"/>
          </w:tcPr>
          <w:p w14:paraId="771C946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18药品目录-中药饮片目录-20251208.xlsx</w:t>
            </w:r>
          </w:p>
        </w:tc>
      </w:tr>
      <w:tr w14:paraId="6238F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238DD40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19</w:t>
            </w:r>
          </w:p>
        </w:tc>
        <w:tc>
          <w:tcPr>
            <w:tcW w:w="0" w:type="auto"/>
          </w:tcPr>
          <w:p w14:paraId="130AEF4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药品目录-中药配方颗粒目录</w:t>
            </w:r>
          </w:p>
        </w:tc>
        <w:tc>
          <w:tcPr>
            <w:tcW w:w="0" w:type="auto"/>
          </w:tcPr>
          <w:p w14:paraId="258B14A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药品目录-中药配方颗粒目录</w:t>
            </w:r>
          </w:p>
        </w:tc>
        <w:tc>
          <w:tcPr>
            <w:tcW w:w="0" w:type="auto"/>
          </w:tcPr>
          <w:p w14:paraId="63A3D63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20251208</w:t>
            </w:r>
          </w:p>
        </w:tc>
        <w:tc>
          <w:tcPr>
            <w:tcW w:w="0" w:type="auto"/>
          </w:tcPr>
          <w:p w14:paraId="1F5D880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19药品目录-中药配方颗粒目录-20251208.xlsx</w:t>
            </w:r>
          </w:p>
        </w:tc>
      </w:tr>
      <w:tr w14:paraId="0158A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3D8A1E40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</w:t>
            </w:r>
          </w:p>
        </w:tc>
        <w:tc>
          <w:tcPr>
            <w:tcW w:w="0" w:type="auto"/>
          </w:tcPr>
          <w:p w14:paraId="76B7463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药品目录-院内制剂目录</w:t>
            </w:r>
          </w:p>
        </w:tc>
        <w:tc>
          <w:tcPr>
            <w:tcW w:w="0" w:type="auto"/>
          </w:tcPr>
          <w:p w14:paraId="700E1C1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药品目录-院内制剂目录</w:t>
            </w:r>
          </w:p>
        </w:tc>
        <w:tc>
          <w:tcPr>
            <w:tcW w:w="0" w:type="auto"/>
          </w:tcPr>
          <w:p w14:paraId="6859D79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20251208</w:t>
            </w:r>
          </w:p>
        </w:tc>
        <w:tc>
          <w:tcPr>
            <w:tcW w:w="0" w:type="auto"/>
          </w:tcPr>
          <w:p w14:paraId="59B1495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20药品目录-院内制剂目录-20251208.xlsx</w:t>
            </w:r>
          </w:p>
        </w:tc>
      </w:tr>
      <w:tr w14:paraId="24101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4160657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21</w:t>
            </w:r>
          </w:p>
        </w:tc>
        <w:tc>
          <w:tcPr>
            <w:tcW w:w="0" w:type="auto"/>
          </w:tcPr>
          <w:p w14:paraId="2A207E5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医疗服务项目目录</w:t>
            </w:r>
          </w:p>
        </w:tc>
        <w:tc>
          <w:tcPr>
            <w:tcW w:w="0" w:type="auto"/>
          </w:tcPr>
          <w:p w14:paraId="3B9A955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医疗服务项目目录</w:t>
            </w:r>
          </w:p>
        </w:tc>
        <w:tc>
          <w:tcPr>
            <w:tcW w:w="0" w:type="auto"/>
          </w:tcPr>
          <w:p w14:paraId="345FC8A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20251020（下发版）</w:t>
            </w:r>
          </w:p>
        </w:tc>
        <w:tc>
          <w:tcPr>
            <w:tcW w:w="0" w:type="auto"/>
          </w:tcPr>
          <w:p w14:paraId="59A1824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21医疗服务项目目录-20251020.xlsx</w:t>
            </w:r>
          </w:p>
        </w:tc>
      </w:tr>
      <w:tr w14:paraId="4A3B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</w:tcPr>
          <w:p w14:paraId="199A600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22</w:t>
            </w:r>
          </w:p>
        </w:tc>
        <w:tc>
          <w:tcPr>
            <w:tcW w:w="0" w:type="auto"/>
            <w:vMerge w:val="restart"/>
          </w:tcPr>
          <w:p w14:paraId="5262754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医用耗材目录</w:t>
            </w:r>
          </w:p>
        </w:tc>
        <w:tc>
          <w:tcPr>
            <w:tcW w:w="0" w:type="auto"/>
          </w:tcPr>
          <w:p w14:paraId="263B3B3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医用耗材目录</w:t>
            </w:r>
          </w:p>
        </w:tc>
        <w:tc>
          <w:tcPr>
            <w:tcW w:w="0" w:type="auto"/>
          </w:tcPr>
          <w:p w14:paraId="495B1C1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20251013版</w:t>
            </w:r>
          </w:p>
        </w:tc>
        <w:tc>
          <w:tcPr>
            <w:tcW w:w="0" w:type="auto"/>
          </w:tcPr>
          <w:p w14:paraId="4752B01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22-1医用耗材目录-20251013.xlsx</w:t>
            </w:r>
          </w:p>
        </w:tc>
      </w:tr>
      <w:tr w14:paraId="6F2C5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</w:tcPr>
          <w:p w14:paraId="64E2CCF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</w:tcPr>
          <w:p w14:paraId="6BDDE0B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</w:tcPr>
          <w:p w14:paraId="3A01D2A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医用耗材目录-附件子库</w:t>
            </w:r>
          </w:p>
        </w:tc>
        <w:tc>
          <w:tcPr>
            <w:tcW w:w="0" w:type="auto"/>
          </w:tcPr>
          <w:p w14:paraId="72FAF6F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20251013版</w:t>
            </w:r>
          </w:p>
        </w:tc>
        <w:tc>
          <w:tcPr>
            <w:tcW w:w="0" w:type="auto"/>
          </w:tcPr>
          <w:p w14:paraId="20E0E7E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22-2医用耗材目录-附件子库-20251013.xlsx</w:t>
            </w:r>
          </w:p>
        </w:tc>
      </w:tr>
      <w:tr w14:paraId="38D1C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125ED46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</w:t>
            </w:r>
          </w:p>
        </w:tc>
        <w:tc>
          <w:tcPr>
            <w:tcW w:w="0" w:type="auto"/>
          </w:tcPr>
          <w:p w14:paraId="5B0656E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中医疾病分类与代码</w:t>
            </w:r>
          </w:p>
        </w:tc>
        <w:tc>
          <w:tcPr>
            <w:tcW w:w="0" w:type="auto"/>
          </w:tcPr>
          <w:p w14:paraId="1D4057E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中医疾病名术语与分类代码</w:t>
            </w:r>
          </w:p>
        </w:tc>
        <w:tc>
          <w:tcPr>
            <w:tcW w:w="0" w:type="auto"/>
          </w:tcPr>
          <w:p w14:paraId="4877E732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GB/T15657-2021</w:t>
            </w:r>
          </w:p>
        </w:tc>
        <w:tc>
          <w:tcPr>
            <w:tcW w:w="0" w:type="auto"/>
          </w:tcPr>
          <w:p w14:paraId="3AED3332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23中医疾病分类与代码.xlsx</w:t>
            </w:r>
          </w:p>
        </w:tc>
      </w:tr>
      <w:tr w14:paraId="32A8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634B9EB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</w:t>
            </w:r>
          </w:p>
        </w:tc>
        <w:tc>
          <w:tcPr>
            <w:tcW w:w="0" w:type="auto"/>
          </w:tcPr>
          <w:p w14:paraId="671537D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中医证候分类与代码</w:t>
            </w:r>
          </w:p>
        </w:tc>
        <w:tc>
          <w:tcPr>
            <w:tcW w:w="0" w:type="auto"/>
          </w:tcPr>
          <w:p w14:paraId="340BE6A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中医证候名术语与分类代码</w:t>
            </w:r>
          </w:p>
        </w:tc>
        <w:tc>
          <w:tcPr>
            <w:tcW w:w="0" w:type="auto"/>
          </w:tcPr>
          <w:p w14:paraId="479C93A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GB/T15657-2021</w:t>
            </w:r>
          </w:p>
        </w:tc>
        <w:tc>
          <w:tcPr>
            <w:tcW w:w="0" w:type="auto"/>
          </w:tcPr>
          <w:p w14:paraId="5CDA02C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24中医证候分类与代码.xlsx</w:t>
            </w:r>
          </w:p>
        </w:tc>
      </w:tr>
      <w:tr w14:paraId="51DC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</w:tcPr>
          <w:p w14:paraId="039258B7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</w:t>
            </w:r>
          </w:p>
        </w:tc>
        <w:tc>
          <w:tcPr>
            <w:tcW w:w="0" w:type="auto"/>
          </w:tcPr>
          <w:p w14:paraId="20621BD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中医治法分类与代码</w:t>
            </w:r>
          </w:p>
        </w:tc>
        <w:tc>
          <w:tcPr>
            <w:tcW w:w="0" w:type="auto"/>
          </w:tcPr>
          <w:p w14:paraId="6ED35CF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中医治法名术语与分类代码</w:t>
            </w:r>
          </w:p>
        </w:tc>
        <w:tc>
          <w:tcPr>
            <w:tcW w:w="0" w:type="auto"/>
          </w:tcPr>
          <w:p w14:paraId="3DA1BF8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GB/T15657-2021</w:t>
            </w:r>
          </w:p>
        </w:tc>
        <w:tc>
          <w:tcPr>
            <w:tcW w:w="0" w:type="auto"/>
          </w:tcPr>
          <w:p w14:paraId="013E6602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25中医治法分类与代码.xlsx</w:t>
            </w:r>
          </w:p>
        </w:tc>
      </w:tr>
    </w:tbl>
    <w:p w14:paraId="73685B67">
      <w:pPr>
        <w:spacing w:before="120" w:after="120"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</w:rPr>
      </w:pPr>
    </w:p>
    <w:p w14:paraId="3981FDDF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64" w:name="heading_10"/>
      <w:bookmarkStart w:id="65" w:name="_Toc30488"/>
      <w:bookmarkStart w:id="66" w:name="_Toc16204"/>
      <w:bookmarkStart w:id="67" w:name="_Toc20473"/>
      <w:bookmarkStart w:id="68" w:name="_Toc30292"/>
      <w:r>
        <w:rPr>
          <w:rFonts w:hint="eastAsia" w:ascii="宋体" w:hAnsi="宋体" w:eastAsia="宋体" w:cs="宋体"/>
          <w:b/>
          <w:bCs/>
          <w:sz w:val="28"/>
          <w:szCs w:val="28"/>
        </w:rPr>
        <w:t>值域</w:t>
      </w:r>
      <w:bookmarkEnd w:id="64"/>
      <w:r>
        <w:rPr>
          <w:rFonts w:hint="eastAsia" w:ascii="宋体" w:hAnsi="宋体" w:eastAsia="宋体" w:cs="宋体"/>
          <w:b/>
          <w:bCs/>
          <w:sz w:val="28"/>
          <w:szCs w:val="28"/>
        </w:rPr>
        <w:t>代码编制规范</w:t>
      </w:r>
      <w:bookmarkEnd w:id="65"/>
      <w:bookmarkEnd w:id="66"/>
      <w:bookmarkEnd w:id="67"/>
      <w:bookmarkEnd w:id="68"/>
    </w:p>
    <w:p w14:paraId="0FA1741D">
      <w:pPr>
        <w:pStyle w:val="11"/>
        <w:spacing w:before="0" w:after="0" w:line="360" w:lineRule="auto"/>
        <w:rPr>
          <w:rFonts w:hint="eastAsia" w:ascii="宋体" w:hAnsi="宋体" w:eastAsia="宋体" w:cs="宋体"/>
          <w:sz w:val="24"/>
          <w:szCs w:val="24"/>
        </w:rPr>
      </w:pPr>
      <w:bookmarkStart w:id="69" w:name="heading_11"/>
      <w:r>
        <w:rPr>
          <w:rFonts w:hint="eastAsia" w:ascii="宋体" w:hAnsi="宋体" w:eastAsia="宋体" w:cs="宋体"/>
          <w:sz w:val="24"/>
          <w:szCs w:val="24"/>
        </w:rPr>
        <w:t>数据元值域代码表的标识符，依据医疗、医保、医药三大业务领域归类及数据层级属性确定，兼顾国家通用标准、行业专项标准与地方业务拓展需求，统一全省</w:t>
      </w:r>
      <w:r>
        <w:rPr>
          <w:rFonts w:hint="eastAsia" w:ascii="宋体" w:hAnsi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三医一张网</w:t>
      </w:r>
      <w:r>
        <w:rPr>
          <w:rFonts w:hint="eastAsia" w:ascii="宋体" w:hAnsi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数据编码口径，保障跨部门、跨机构、跨业务数据精准对接。</w:t>
      </w:r>
    </w:p>
    <w:p w14:paraId="3FF047FD">
      <w:pPr>
        <w:pStyle w:val="11"/>
        <w:spacing w:before="0" w:after="0"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共设置三种编码格式，分别适配国标沿用、国标修订、地方新增三类数据场景，具体规则如下：</w:t>
      </w:r>
    </w:p>
    <w:p w14:paraId="00068B62">
      <w:pPr>
        <w:pStyle w:val="4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70" w:name="_Toc22072"/>
      <w:bookmarkStart w:id="71" w:name="_Toc5807"/>
      <w:bookmarkStart w:id="72" w:name="_Toc11912"/>
      <w:r>
        <w:rPr>
          <w:rFonts w:hint="eastAsia" w:ascii="宋体" w:hAnsi="宋体" w:eastAsia="宋体" w:cs="宋体"/>
          <w:b/>
          <w:bCs/>
          <w:sz w:val="24"/>
          <w:szCs w:val="24"/>
        </w:rPr>
        <w:t>国标原生编码</w:t>
      </w:r>
      <w:bookmarkEnd w:id="70"/>
      <w:bookmarkEnd w:id="71"/>
      <w:bookmarkEnd w:id="72"/>
    </w:p>
    <w:p w14:paraId="161DD33F">
      <w:pPr>
        <w:pStyle w:val="11"/>
        <w:spacing w:before="0" w:after="0"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于完全符合国家GB标准、WS364-2013卫生信息数据元值域代码、医保国家编码标准、药监国家编码标准的数据元值域，直接沿用国家官方标准代码，代码结构、字段、数值保持不变，确保与国家顶层标准完全统一，实现全国层级数据互通。示例：原生国标值域代码可直接用于患者基础属性、通用医疗术语、医保通用目录、药品基础分类等标准化数据场景。</w:t>
      </w:r>
    </w:p>
    <w:p w14:paraId="113DC48C">
      <w:pPr>
        <w:pStyle w:val="4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73" w:name="_Toc24291"/>
      <w:bookmarkStart w:id="74" w:name="_Toc1278"/>
      <w:bookmarkStart w:id="75" w:name="_Toc31681"/>
      <w:r>
        <w:rPr>
          <w:rFonts w:hint="eastAsia" w:ascii="宋体" w:hAnsi="宋体" w:eastAsia="宋体" w:cs="宋体"/>
          <w:b/>
          <w:bCs/>
          <w:sz w:val="24"/>
          <w:szCs w:val="24"/>
        </w:rPr>
        <w:t>国标修订编码</w:t>
      </w:r>
      <w:bookmarkEnd w:id="73"/>
      <w:bookmarkEnd w:id="74"/>
      <w:bookmarkEnd w:id="75"/>
    </w:p>
    <w:p w14:paraId="09A9F9E3">
      <w:pPr>
        <w:pStyle w:val="11"/>
        <w:spacing w:before="0" w:after="0"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于在国家通用标准基础上，结合河南省三医联动业务实际，补充完善、修订调整的数据元值域，在原国家标准代码前缀增加专属标识，区分原生国标与地方优化修订内容，保留原国标代码主体结构，保证标准延续性。</w:t>
      </w:r>
    </w:p>
    <w:p w14:paraId="1DC36EA0">
      <w:pPr>
        <w:pStyle w:val="11"/>
        <w:spacing w:before="0" w:after="0"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修订编码前缀统一采用SY（三医联动缩写），编码格式为：SY+原国标标准代码。示例：原WS364-2013原生代码、医保/药监国标代码，经本省三医业务场景修订扩充后，修订值域代码统一增加SY前缀，既保留国标溯源性，又区分地方修订版本。</w:t>
      </w:r>
    </w:p>
    <w:p w14:paraId="00A14AFC">
      <w:pPr>
        <w:pStyle w:val="4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76" w:name="_Toc25883"/>
      <w:bookmarkStart w:id="77" w:name="_Toc11555"/>
      <w:bookmarkStart w:id="78" w:name="_Toc9648"/>
      <w:r>
        <w:rPr>
          <w:rFonts w:hint="eastAsia" w:ascii="宋体" w:hAnsi="宋体" w:eastAsia="宋体" w:cs="宋体"/>
          <w:b/>
          <w:bCs/>
          <w:sz w:val="24"/>
          <w:szCs w:val="24"/>
        </w:rPr>
        <w:t>本地扩展编码</w:t>
      </w:r>
      <w:bookmarkEnd w:id="76"/>
      <w:bookmarkEnd w:id="77"/>
      <w:bookmarkEnd w:id="78"/>
    </w:p>
    <w:p w14:paraId="46C658A6">
      <w:pPr>
        <w:pStyle w:val="11"/>
        <w:spacing w:before="0" w:after="0"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于未纳入国家卫生、医保、药监现有标准体系，为适配河南省三医一张网特色联动业务、跨部门协同场景新增的数据元值域，采用本地专属编码格式。编码整体为字母数字混合结构，总长度13位，含2个分隔符号“.”，结构统一、规则唯一。</w:t>
      </w:r>
    </w:p>
    <w:p w14:paraId="4243AD80">
      <w:pPr>
        <w:pStyle w:val="11"/>
        <w:spacing w:before="0" w:after="0"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完整编码结构：SYCT+2位大类代码.2位小类代码.3位顺序号，标准示例：SYCT00.00.000</w:t>
      </w:r>
    </w:p>
    <w:p w14:paraId="3963DA99">
      <w:pPr>
        <w:pStyle w:val="11"/>
        <w:spacing w:before="0" w:after="0"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字段释义如下：</w:t>
      </w:r>
    </w:p>
    <w:p w14:paraId="46C5E3EB">
      <w:pPr>
        <w:pStyle w:val="11"/>
        <w:numPr>
          <w:ilvl w:val="0"/>
          <w:numId w:val="8"/>
        </w:numPr>
        <w:ind w:left="845" w:hanging="425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SY：专属标识，代表河南省三医一张网联动标准编码，区别于单一卫健、医保、药监行业编码，凸显三医融合业务属性；</w:t>
      </w:r>
    </w:p>
    <w:p w14:paraId="30C57B06">
      <w:pPr>
        <w:pStyle w:val="11"/>
        <w:numPr>
          <w:ilvl w:val="0"/>
          <w:numId w:val="8"/>
        </w:numPr>
        <w:ind w:left="845" w:hanging="425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CT：本地值域编码标识，代表三医一张网体系下自定义新增的数据元值域标准编码值；</w:t>
      </w:r>
    </w:p>
    <w:p w14:paraId="230D680D">
      <w:pPr>
        <w:pStyle w:val="11"/>
        <w:numPr>
          <w:ilvl w:val="0"/>
          <w:numId w:val="8"/>
        </w:numPr>
        <w:ind w:left="845" w:hanging="425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大类代码：2位数字，对应三医一张网数据集第一层分类，区分医疗、医保、医药、联动协同四大核心领域，具体分类见表A.1；</w:t>
      </w:r>
    </w:p>
    <w:p w14:paraId="545D9084">
      <w:pPr>
        <w:pStyle w:val="11"/>
        <w:numPr>
          <w:ilvl w:val="0"/>
          <w:numId w:val="8"/>
        </w:numPr>
        <w:ind w:left="845" w:hanging="425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小类代码：2位数字，对应三医一张网数据集第二层细分分类，现阶段为统一规范管理，默认暂定为“00”，后续可根据业务拓展迭代更新；大类与小类代码之间以“.”分隔；</w:t>
      </w:r>
    </w:p>
    <w:p w14:paraId="247DF0F8">
      <w:pPr>
        <w:pStyle w:val="11"/>
        <w:numPr>
          <w:ilvl w:val="0"/>
          <w:numId w:val="8"/>
        </w:numPr>
        <w:ind w:left="845" w:hanging="425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顺序号：3位数字，为同一大类、小类下值域代码表的唯一排序编号，数字无业务含义，编码从001开始依次递增，确保每一项本地新增值域编码唯一；顺序号与小类代码之间以“.”分隔。</w:t>
      </w:r>
    </w:p>
    <w:p w14:paraId="0E922BD8">
      <w:pPr>
        <w:pStyle w:val="38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表A.1三医一张网数据集大类分类说明</w:t>
      </w:r>
    </w:p>
    <w:tbl>
      <w:tblPr>
        <w:tblStyle w:val="19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50"/>
        <w:gridCol w:w="1444"/>
        <w:gridCol w:w="5549"/>
      </w:tblGrid>
      <w:tr w14:paraId="6A1B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907" w:type="pct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8A8B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大类代码</w:t>
            </w:r>
          </w:p>
        </w:tc>
        <w:tc>
          <w:tcPr>
            <w:tcW w:w="845" w:type="pct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B931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小类代码</w:t>
            </w:r>
          </w:p>
        </w:tc>
        <w:tc>
          <w:tcPr>
            <w:tcW w:w="3247" w:type="pct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662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数据集分类说明</w:t>
            </w:r>
          </w:p>
        </w:tc>
      </w:tr>
      <w:tr w14:paraId="2F017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9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275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00</w:t>
            </w:r>
          </w:p>
        </w:tc>
        <w:tc>
          <w:tcPr>
            <w:tcW w:w="84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4B91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00</w:t>
            </w:r>
          </w:p>
        </w:tc>
        <w:tc>
          <w:tcPr>
            <w:tcW w:w="324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C1EA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符合国家通用规范、跨行业通用的基础标准代码（兼容国标GBT、WS、医保、药监通用标准）</w:t>
            </w:r>
          </w:p>
        </w:tc>
      </w:tr>
      <w:tr w14:paraId="588F4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9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5C32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01</w:t>
            </w:r>
          </w:p>
        </w:tc>
        <w:tc>
          <w:tcPr>
            <w:tcW w:w="84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B8B2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00</w:t>
            </w:r>
          </w:p>
        </w:tc>
        <w:tc>
          <w:tcPr>
            <w:tcW w:w="324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019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A_医疗基础数据集（医疗机构、人员、设备、诊疗基础信息、电子健康档案、门诊住院基础数据等卫健核心业务）</w:t>
            </w:r>
          </w:p>
        </w:tc>
      </w:tr>
      <w:tr w14:paraId="3CB27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9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C5DC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02</w:t>
            </w:r>
          </w:p>
        </w:tc>
        <w:tc>
          <w:tcPr>
            <w:tcW w:w="84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5DFC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00</w:t>
            </w:r>
          </w:p>
        </w:tc>
        <w:tc>
          <w:tcPr>
            <w:tcW w:w="324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9A5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B_医保业务数据集（医保参保、缴费、报销、结算、目录管理、医保监管、异地就医等医保核心业务）</w:t>
            </w:r>
          </w:p>
        </w:tc>
      </w:tr>
      <w:tr w14:paraId="27B00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9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5D7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03</w:t>
            </w:r>
          </w:p>
        </w:tc>
        <w:tc>
          <w:tcPr>
            <w:tcW w:w="84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5DB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00</w:t>
            </w:r>
          </w:p>
        </w:tc>
        <w:tc>
          <w:tcPr>
            <w:tcW w:w="324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EE9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C_医药监管数据集（药品、器械、耗材采购、流通、使用、监管、不良反应监测等药监核心业务）</w:t>
            </w:r>
          </w:p>
        </w:tc>
      </w:tr>
      <w:tr w14:paraId="76AE4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9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408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04</w:t>
            </w:r>
          </w:p>
        </w:tc>
        <w:tc>
          <w:tcPr>
            <w:tcW w:w="84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3819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00</w:t>
            </w:r>
          </w:p>
        </w:tc>
        <w:tc>
          <w:tcPr>
            <w:tcW w:w="324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E34B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D_公共卫生联动数据集（慢病管理、老年保健、传染病防控、公共卫生监测与医保医疗联动数据）</w:t>
            </w:r>
          </w:p>
        </w:tc>
      </w:tr>
      <w:tr w14:paraId="046F0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9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6D79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05</w:t>
            </w:r>
          </w:p>
        </w:tc>
        <w:tc>
          <w:tcPr>
            <w:tcW w:w="84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72CA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00</w:t>
            </w:r>
          </w:p>
        </w:tc>
        <w:tc>
          <w:tcPr>
            <w:tcW w:w="324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6195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E</w:t>
            </w:r>
            <w:r>
              <w:rPr>
                <w:rFonts w:hint="eastAsia" w:ascii="宋体" w:hAnsi="宋体" w:eastAsia="宋体" w:cs="宋体"/>
                <w:szCs w:val="21"/>
                <w:lang w:bidi="ar"/>
              </w:rPr>
              <w:t>_疾控防疫数据集（传染病报告、疫情监测预警、流行病学调查、疫苗接种、消杀防控、健康危害因素监测、疾控应急处置等疾控核心业务数据）</w:t>
            </w:r>
          </w:p>
        </w:tc>
      </w:tr>
      <w:tr w14:paraId="0C93A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9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36B9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06</w:t>
            </w:r>
          </w:p>
        </w:tc>
        <w:tc>
          <w:tcPr>
            <w:tcW w:w="84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262B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00</w:t>
            </w:r>
          </w:p>
        </w:tc>
        <w:tc>
          <w:tcPr>
            <w:tcW w:w="324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0EA0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F_三医联动协同数据集（跨部门数据共享、业务协同、联合监管、便民服务、异常预警等融合业务）</w:t>
            </w:r>
          </w:p>
        </w:tc>
      </w:tr>
    </w:tbl>
    <w:p w14:paraId="49C23E81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79" w:name="_Toc10631"/>
      <w:bookmarkStart w:id="80" w:name="_Toc10218"/>
      <w:bookmarkStart w:id="81" w:name="_Toc29470"/>
      <w:bookmarkStart w:id="82" w:name="_Toc9693"/>
      <w:r>
        <w:rPr>
          <w:rFonts w:hint="eastAsia" w:ascii="宋体" w:hAnsi="宋体" w:eastAsia="宋体" w:cs="宋体"/>
          <w:b/>
          <w:bCs/>
          <w:sz w:val="28"/>
          <w:szCs w:val="28"/>
        </w:rPr>
        <w:t>数据集编制规范</w:t>
      </w:r>
      <w:bookmarkEnd w:id="69"/>
      <w:bookmarkEnd w:id="79"/>
      <w:bookmarkEnd w:id="80"/>
      <w:bookmarkEnd w:id="81"/>
      <w:bookmarkEnd w:id="82"/>
    </w:p>
    <w:p w14:paraId="308DA70D">
      <w:pPr>
        <w:pStyle w:val="4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83" w:name="_Toc19694"/>
      <w:bookmarkStart w:id="84" w:name="_Toc16059"/>
      <w:bookmarkStart w:id="85" w:name="_Toc8980"/>
      <w:r>
        <w:rPr>
          <w:rFonts w:hint="eastAsia" w:ascii="宋体" w:hAnsi="宋体" w:eastAsia="宋体" w:cs="宋体"/>
          <w:b/>
          <w:bCs/>
          <w:sz w:val="24"/>
          <w:szCs w:val="24"/>
        </w:rPr>
        <w:t>数据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集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目录编制规范</w:t>
      </w:r>
      <w:bookmarkEnd w:id="83"/>
      <w:bookmarkEnd w:id="84"/>
      <w:bookmarkEnd w:id="85"/>
    </w:p>
    <w:p w14:paraId="723CBBE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数据目录包括序号、分册</w:t>
      </w:r>
      <w:r>
        <w:rPr>
          <w:rFonts w:hint="eastAsia" w:ascii="宋体" w:hAnsi="宋体" w:cs="宋体"/>
          <w:sz w:val="24"/>
          <w:szCs w:val="24"/>
          <w:lang w:eastAsia="zh-CN"/>
        </w:rPr>
        <w:t>名</w:t>
      </w:r>
      <w:r>
        <w:rPr>
          <w:rFonts w:hint="eastAsia" w:ascii="宋体" w:hAnsi="宋体" w:eastAsia="宋体" w:cs="宋体"/>
          <w:sz w:val="24"/>
          <w:szCs w:val="24"/>
        </w:rPr>
        <w:t>、数据集、数据集</w:t>
      </w:r>
      <w:r>
        <w:rPr>
          <w:rFonts w:hint="eastAsia" w:ascii="宋体" w:hAnsi="宋体" w:cs="宋体"/>
          <w:sz w:val="24"/>
          <w:szCs w:val="24"/>
          <w:lang w:eastAsia="zh-CN"/>
        </w:rPr>
        <w:t>分类</w:t>
      </w:r>
      <w:r>
        <w:rPr>
          <w:rFonts w:hint="eastAsia" w:ascii="宋体" w:hAnsi="宋体" w:eastAsia="宋体" w:cs="宋体"/>
          <w:sz w:val="24"/>
          <w:szCs w:val="24"/>
        </w:rPr>
        <w:t>、数据</w:t>
      </w:r>
      <w:r>
        <w:rPr>
          <w:rFonts w:hint="eastAsia" w:ascii="宋体" w:hAnsi="宋体" w:cs="宋体"/>
          <w:sz w:val="24"/>
          <w:szCs w:val="24"/>
          <w:lang w:eastAsia="zh-CN"/>
        </w:rPr>
        <w:t>表</w:t>
      </w:r>
      <w:r>
        <w:rPr>
          <w:rFonts w:hint="eastAsia" w:ascii="宋体" w:hAnsi="宋体" w:eastAsia="宋体" w:cs="宋体"/>
          <w:sz w:val="24"/>
          <w:szCs w:val="24"/>
        </w:rPr>
        <w:t>名称、数据</w:t>
      </w:r>
      <w:r>
        <w:rPr>
          <w:rFonts w:hint="eastAsia" w:ascii="宋体" w:hAnsi="宋体" w:cs="宋体"/>
          <w:sz w:val="24"/>
          <w:szCs w:val="24"/>
          <w:lang w:eastAsia="zh-CN"/>
        </w:rPr>
        <w:t>表</w:t>
      </w:r>
      <w:r>
        <w:rPr>
          <w:rFonts w:hint="eastAsia" w:ascii="宋体" w:hAnsi="宋体" w:eastAsia="宋体" w:cs="宋体"/>
          <w:sz w:val="24"/>
          <w:szCs w:val="24"/>
        </w:rPr>
        <w:t>英文名、参考标准、数据来源、更新频率、备注。</w:t>
      </w:r>
    </w:p>
    <w:tbl>
      <w:tblPr>
        <w:tblStyle w:val="20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2674"/>
        <w:gridCol w:w="4808"/>
      </w:tblGrid>
      <w:tr w14:paraId="45C36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  <w:shd w:val="clear" w:color="auto" w:fill="auto"/>
          </w:tcPr>
          <w:p w14:paraId="40537B38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9" w:type="pct"/>
            <w:shd w:val="clear" w:color="auto" w:fill="auto"/>
          </w:tcPr>
          <w:p w14:paraId="5DAAF353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列名</w:t>
            </w:r>
          </w:p>
        </w:tc>
        <w:tc>
          <w:tcPr>
            <w:tcW w:w="2821" w:type="pct"/>
            <w:shd w:val="clear" w:color="auto" w:fill="auto"/>
          </w:tcPr>
          <w:p w14:paraId="0245AB25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说明</w:t>
            </w:r>
          </w:p>
        </w:tc>
      </w:tr>
      <w:tr w14:paraId="0ABBE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</w:tcPr>
          <w:p w14:paraId="73FF4625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9" w:type="pct"/>
          </w:tcPr>
          <w:p w14:paraId="2332EE55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821" w:type="pct"/>
          </w:tcPr>
          <w:p w14:paraId="73EDF423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排序号</w:t>
            </w:r>
          </w:p>
        </w:tc>
      </w:tr>
      <w:tr w14:paraId="22B7C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</w:tcPr>
          <w:p w14:paraId="6630B55A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9" w:type="pct"/>
          </w:tcPr>
          <w:p w14:paraId="75AA386D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分册</w:t>
            </w:r>
          </w:p>
        </w:tc>
        <w:tc>
          <w:tcPr>
            <w:tcW w:w="2821" w:type="pct"/>
          </w:tcPr>
          <w:p w14:paraId="1E439BAB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目前包括医疗服务、公共卫生、医疗保障、药品监管，后期根据业务需求再扩展，命名见下表的分册命名规范</w:t>
            </w:r>
          </w:p>
        </w:tc>
      </w:tr>
      <w:tr w14:paraId="59F4D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9" w:type="pct"/>
          </w:tcPr>
          <w:p w14:paraId="7EAE2228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569" w:type="pct"/>
          </w:tcPr>
          <w:p w14:paraId="7961616C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数据集</w:t>
            </w:r>
          </w:p>
        </w:tc>
        <w:tc>
          <w:tcPr>
            <w:tcW w:w="2821" w:type="pct"/>
          </w:tcPr>
          <w:p w14:paraId="27E3670B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大类</w:t>
            </w:r>
          </w:p>
        </w:tc>
      </w:tr>
      <w:tr w14:paraId="1C879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</w:tcPr>
          <w:p w14:paraId="2238788E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569" w:type="pct"/>
          </w:tcPr>
          <w:p w14:paraId="6B75B514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类</w:t>
            </w:r>
          </w:p>
        </w:tc>
        <w:tc>
          <w:tcPr>
            <w:tcW w:w="2821" w:type="pct"/>
          </w:tcPr>
          <w:p w14:paraId="1DB0A3C6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大类下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子类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划分</w:t>
            </w:r>
          </w:p>
        </w:tc>
      </w:tr>
      <w:tr w14:paraId="4DA7C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</w:tcPr>
          <w:p w14:paraId="13DDD9B0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569" w:type="pct"/>
          </w:tcPr>
          <w:p w14:paraId="40F4F873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2821" w:type="pct"/>
          </w:tcPr>
          <w:p w14:paraId="10EC2082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集中具体数据表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</w:tr>
      <w:tr w14:paraId="2F7DA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</w:tcPr>
          <w:p w14:paraId="1AFE7BA7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569" w:type="pct"/>
          </w:tcPr>
          <w:p w14:paraId="2FDA81A6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数据集英文名</w:t>
            </w:r>
          </w:p>
        </w:tc>
        <w:tc>
          <w:tcPr>
            <w:tcW w:w="2821" w:type="pct"/>
          </w:tcPr>
          <w:p w14:paraId="6CAC77D2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中具体数据表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英文名</w:t>
            </w:r>
          </w:p>
        </w:tc>
      </w:tr>
      <w:tr w14:paraId="7CD3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</w:tcPr>
          <w:p w14:paraId="4C12ACF1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569" w:type="pct"/>
          </w:tcPr>
          <w:p w14:paraId="03817F88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参考标准</w:t>
            </w:r>
          </w:p>
        </w:tc>
        <w:tc>
          <w:tcPr>
            <w:tcW w:w="2821" w:type="pct"/>
          </w:tcPr>
          <w:p w14:paraId="1A06400D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数据集编制时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参考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标准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来源</w:t>
            </w:r>
          </w:p>
        </w:tc>
      </w:tr>
      <w:tr w14:paraId="7CF8D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</w:tcPr>
          <w:p w14:paraId="67498531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569" w:type="pct"/>
          </w:tcPr>
          <w:p w14:paraId="0A879227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数据来源</w:t>
            </w:r>
          </w:p>
        </w:tc>
        <w:tc>
          <w:tcPr>
            <w:tcW w:w="2821" w:type="pct"/>
          </w:tcPr>
          <w:p w14:paraId="0DFEA47C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采集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数据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来源</w:t>
            </w:r>
          </w:p>
        </w:tc>
      </w:tr>
      <w:tr w14:paraId="6753D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</w:tcPr>
          <w:p w14:paraId="667A1F31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1569" w:type="pct"/>
          </w:tcPr>
          <w:p w14:paraId="760B7B75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更新频率</w:t>
            </w:r>
          </w:p>
        </w:tc>
        <w:tc>
          <w:tcPr>
            <w:tcW w:w="2821" w:type="pct"/>
          </w:tcPr>
          <w:p w14:paraId="318C1D7C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实时、非实时，非实时可写T+1</w:t>
            </w:r>
          </w:p>
        </w:tc>
      </w:tr>
      <w:tr w14:paraId="0EF80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</w:tcPr>
          <w:p w14:paraId="3B420FA4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</w:t>
            </w:r>
          </w:p>
        </w:tc>
        <w:tc>
          <w:tcPr>
            <w:tcW w:w="1569" w:type="pct"/>
          </w:tcPr>
          <w:p w14:paraId="705EE788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  <w:tc>
          <w:tcPr>
            <w:tcW w:w="2821" w:type="pct"/>
          </w:tcPr>
          <w:p w14:paraId="03E54E43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</w:tbl>
    <w:p w14:paraId="6BE4693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204BB2E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分册命名规则如下：</w:t>
      </w:r>
    </w:p>
    <w:tbl>
      <w:tblPr>
        <w:tblStyle w:val="20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981"/>
        <w:gridCol w:w="2981"/>
      </w:tblGrid>
      <w:tr w14:paraId="37318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pct"/>
            <w:shd w:val="clear" w:color="auto" w:fill="auto"/>
          </w:tcPr>
          <w:p w14:paraId="131BD284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业务域</w:t>
            </w:r>
          </w:p>
        </w:tc>
        <w:tc>
          <w:tcPr>
            <w:tcW w:w="1749" w:type="pct"/>
            <w:shd w:val="clear" w:color="auto" w:fill="auto"/>
          </w:tcPr>
          <w:p w14:paraId="2D67D012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前缀</w:t>
            </w:r>
          </w:p>
        </w:tc>
        <w:tc>
          <w:tcPr>
            <w:tcW w:w="1749" w:type="pct"/>
            <w:shd w:val="clear" w:color="auto" w:fill="auto"/>
          </w:tcPr>
          <w:p w14:paraId="02A60C46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备注</w:t>
            </w:r>
          </w:p>
        </w:tc>
      </w:tr>
      <w:tr w14:paraId="29784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01" w:type="pct"/>
          </w:tcPr>
          <w:p w14:paraId="0170838C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医疗服务</w:t>
            </w:r>
          </w:p>
        </w:tc>
        <w:tc>
          <w:tcPr>
            <w:tcW w:w="1749" w:type="pct"/>
          </w:tcPr>
          <w:p w14:paraId="54734CE7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YL</w:t>
            </w:r>
          </w:p>
        </w:tc>
        <w:tc>
          <w:tcPr>
            <w:tcW w:w="1749" w:type="pct"/>
          </w:tcPr>
          <w:p w14:paraId="665A18DA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6693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pct"/>
          </w:tcPr>
          <w:p w14:paraId="074E36FA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公共卫生</w:t>
            </w:r>
          </w:p>
        </w:tc>
        <w:tc>
          <w:tcPr>
            <w:tcW w:w="1749" w:type="pct"/>
          </w:tcPr>
          <w:p w14:paraId="5E9FC572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GW</w:t>
            </w:r>
          </w:p>
        </w:tc>
        <w:tc>
          <w:tcPr>
            <w:tcW w:w="1749" w:type="pct"/>
          </w:tcPr>
          <w:p w14:paraId="3266A232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692D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pct"/>
          </w:tcPr>
          <w:p w14:paraId="2D179D62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医疗保障</w:t>
            </w:r>
          </w:p>
        </w:tc>
        <w:tc>
          <w:tcPr>
            <w:tcW w:w="1749" w:type="pct"/>
          </w:tcPr>
          <w:p w14:paraId="7DFD70B8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YB</w:t>
            </w:r>
          </w:p>
        </w:tc>
        <w:tc>
          <w:tcPr>
            <w:tcW w:w="1749" w:type="pct"/>
          </w:tcPr>
          <w:p w14:paraId="7EDA44EA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A19B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01" w:type="pct"/>
          </w:tcPr>
          <w:p w14:paraId="198764A4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药品监管</w:t>
            </w:r>
          </w:p>
        </w:tc>
        <w:tc>
          <w:tcPr>
            <w:tcW w:w="1749" w:type="pct"/>
          </w:tcPr>
          <w:p w14:paraId="7A2C9FC5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YJ</w:t>
            </w:r>
          </w:p>
        </w:tc>
        <w:tc>
          <w:tcPr>
            <w:tcW w:w="1749" w:type="pct"/>
          </w:tcPr>
          <w:p w14:paraId="1CFA519D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5683CF84">
      <w:pPr>
        <w:spacing w:line="36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19BCF144">
      <w:pPr>
        <w:pStyle w:val="4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86" w:name="_Toc632"/>
      <w:bookmarkStart w:id="87" w:name="_Toc12528"/>
      <w:bookmarkStart w:id="88" w:name="_Toc7331"/>
      <w:r>
        <w:rPr>
          <w:rFonts w:hint="eastAsia" w:ascii="宋体" w:hAnsi="宋体" w:eastAsia="宋体" w:cs="宋体"/>
          <w:b/>
          <w:bCs/>
          <w:sz w:val="24"/>
          <w:szCs w:val="24"/>
        </w:rPr>
        <w:t>数据元编制规范</w:t>
      </w:r>
      <w:bookmarkEnd w:id="86"/>
      <w:bookmarkEnd w:id="87"/>
      <w:bookmarkEnd w:id="88"/>
    </w:p>
    <w:p w14:paraId="0080904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数据元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（字段）</w:t>
      </w:r>
      <w:r>
        <w:rPr>
          <w:rFonts w:hint="eastAsia" w:ascii="宋体" w:hAnsi="宋体" w:eastAsia="宋体" w:cs="宋体"/>
          <w:b/>
          <w:sz w:val="24"/>
          <w:szCs w:val="24"/>
        </w:rPr>
        <w:t>包括</w:t>
      </w:r>
      <w:r>
        <w:rPr>
          <w:rFonts w:hint="eastAsia" w:ascii="宋体" w:hAnsi="宋体" w:eastAsia="宋体" w:cs="宋体"/>
          <w:sz w:val="24"/>
          <w:szCs w:val="24"/>
        </w:rPr>
        <w:t>：序号、中文名称、英文编码、字段类型、长度、是否必填、是否主键、字段说明、值域代码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095C62D8">
      <w:pPr>
        <w:pStyle w:val="11"/>
        <w:spacing w:before="0" w:after="0"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具体说明如下：</w:t>
      </w:r>
    </w:p>
    <w:p w14:paraId="3BFB227C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序号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数据项序号；字段排列顺序规则：主键、患者信息、业务信息、管理字段</w:t>
      </w:r>
    </w:p>
    <w:p w14:paraId="018D2C4D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中文名称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数据项说明</w:t>
      </w:r>
    </w:p>
    <w:p w14:paraId="2BD22816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英文编码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数据项英文编码，多字母用“_”分割  ，一律大写</w:t>
      </w:r>
    </w:p>
    <w:p w14:paraId="23DAA89A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字段类型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字符型、数字型、日期型、日期时间型、时间型、二进制、长文本</w:t>
      </w:r>
    </w:p>
    <w:p w14:paraId="645E0938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长度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具体长度，数字包括小数用（总长度,小数位数）来表示</w:t>
      </w:r>
    </w:p>
    <w:p w14:paraId="4634875C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是否必填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是；非必填：空；可选必填/医保必填/条件必填，可以在字段说明中标注</w:t>
      </w:r>
    </w:p>
    <w:p w14:paraId="3DFF4BF3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是否主键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是；非主键：空；主键列必须标注</w:t>
      </w:r>
    </w:p>
    <w:p w14:paraId="5C4B9E10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字段说明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特殊字段可以单独说明</w:t>
      </w:r>
    </w:p>
    <w:p w14:paraId="0DFC34C8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值域代码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应用统一值域代码，缺失的增加到三医值域代码库；所有用到值域代码都要包含代码、名称字段、是否新增、参考来源；</w:t>
      </w:r>
    </w:p>
    <w:p w14:paraId="63F07A13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管理字段</w:t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每个数据集必须包括以下管理字段：</w:t>
      </w:r>
    </w:p>
    <w:tbl>
      <w:tblPr>
        <w:tblStyle w:val="2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2441"/>
        <w:gridCol w:w="1984"/>
        <w:gridCol w:w="2886"/>
      </w:tblGrid>
      <w:tr w14:paraId="0E7BA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pct"/>
          </w:tcPr>
          <w:p w14:paraId="50648059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432" w:type="pct"/>
          </w:tcPr>
          <w:p w14:paraId="3A9CBF15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字段英文名</w:t>
            </w:r>
          </w:p>
        </w:tc>
        <w:tc>
          <w:tcPr>
            <w:tcW w:w="1164" w:type="pct"/>
          </w:tcPr>
          <w:p w14:paraId="3084B39E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字段中文名</w:t>
            </w:r>
          </w:p>
        </w:tc>
        <w:tc>
          <w:tcPr>
            <w:tcW w:w="1692" w:type="pct"/>
          </w:tcPr>
          <w:p w14:paraId="2A5B5FEC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字段说明</w:t>
            </w:r>
          </w:p>
        </w:tc>
      </w:tr>
      <w:tr w14:paraId="78415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pct"/>
          </w:tcPr>
          <w:p w14:paraId="397564D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432" w:type="pct"/>
          </w:tcPr>
          <w:p w14:paraId="67A9410C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BUSI_OCCUR_TIME</w:t>
            </w:r>
          </w:p>
        </w:tc>
        <w:tc>
          <w:tcPr>
            <w:tcW w:w="1164" w:type="pct"/>
          </w:tcPr>
          <w:p w14:paraId="7E6C667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业务发生时间</w:t>
            </w:r>
          </w:p>
        </w:tc>
        <w:tc>
          <w:tcPr>
            <w:tcW w:w="1692" w:type="pct"/>
          </w:tcPr>
          <w:p w14:paraId="6331601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用于判断每天的业务是否连续，补传历史数据，业务发生时间也不会改变。比如：挂号时间，医嘱开始时间，入院日期等</w:t>
            </w:r>
          </w:p>
        </w:tc>
      </w:tr>
      <w:tr w14:paraId="1774C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pct"/>
          </w:tcPr>
          <w:p w14:paraId="7E57A0B6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432" w:type="pct"/>
          </w:tcPr>
          <w:p w14:paraId="02BD51F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UPLOAD_TIME</w:t>
            </w:r>
          </w:p>
        </w:tc>
        <w:tc>
          <w:tcPr>
            <w:tcW w:w="1164" w:type="pct"/>
          </w:tcPr>
          <w:p w14:paraId="73C5211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数据入库时间</w:t>
            </w:r>
          </w:p>
        </w:tc>
        <w:tc>
          <w:tcPr>
            <w:tcW w:w="1692" w:type="pct"/>
          </w:tcPr>
          <w:p w14:paraId="33FD4CB7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数据入库时系统自动生成</w:t>
            </w:r>
          </w:p>
        </w:tc>
      </w:tr>
      <w:tr w14:paraId="4AEFC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pct"/>
          </w:tcPr>
          <w:p w14:paraId="769794F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432" w:type="pct"/>
          </w:tcPr>
          <w:p w14:paraId="3039C9C7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RID</w:t>
            </w:r>
          </w:p>
        </w:tc>
        <w:tc>
          <w:tcPr>
            <w:tcW w:w="1164" w:type="pct"/>
          </w:tcPr>
          <w:p w14:paraId="735602C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数据行唯一标识</w:t>
            </w:r>
          </w:p>
        </w:tc>
        <w:tc>
          <w:tcPr>
            <w:tcW w:w="1692" w:type="pct"/>
          </w:tcPr>
          <w:p w14:paraId="33FEA43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系统自动生成</w:t>
            </w:r>
          </w:p>
        </w:tc>
      </w:tr>
      <w:tr w14:paraId="6CA1F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pct"/>
          </w:tcPr>
          <w:p w14:paraId="6CA2955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432" w:type="pct"/>
          </w:tcPr>
          <w:p w14:paraId="34495E64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ROW_FLAG</w:t>
            </w:r>
          </w:p>
        </w:tc>
        <w:tc>
          <w:tcPr>
            <w:tcW w:w="1164" w:type="pct"/>
          </w:tcPr>
          <w:p w14:paraId="6F3B105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数据是否有效</w:t>
            </w:r>
          </w:p>
        </w:tc>
        <w:tc>
          <w:tcPr>
            <w:tcW w:w="1692" w:type="pct"/>
          </w:tcPr>
          <w:p w14:paraId="7DB6E5FC">
            <w:pPr>
              <w:spacing w:line="360" w:lineRule="auto"/>
              <w:jc w:val="left"/>
              <w:rPr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通用管理字段</w:t>
            </w:r>
          </w:p>
        </w:tc>
      </w:tr>
      <w:tr w14:paraId="2FCE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0" w:type="pct"/>
          </w:tcPr>
          <w:p w14:paraId="1C56DA27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432" w:type="pct"/>
          </w:tcPr>
          <w:p w14:paraId="4AFBC43D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OPTER_ID</w:t>
            </w:r>
          </w:p>
        </w:tc>
        <w:tc>
          <w:tcPr>
            <w:tcW w:w="1164" w:type="pct"/>
          </w:tcPr>
          <w:p w14:paraId="35009FA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经办人编号</w:t>
            </w:r>
          </w:p>
        </w:tc>
        <w:tc>
          <w:tcPr>
            <w:tcW w:w="1692" w:type="pct"/>
          </w:tcPr>
          <w:p w14:paraId="37A4293C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医保必需</w:t>
            </w:r>
          </w:p>
        </w:tc>
      </w:tr>
      <w:tr w14:paraId="5E8DB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pct"/>
          </w:tcPr>
          <w:p w14:paraId="7C3EAFD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432" w:type="pct"/>
          </w:tcPr>
          <w:p w14:paraId="0BEE008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OPTER_NAME</w:t>
            </w:r>
          </w:p>
        </w:tc>
        <w:tc>
          <w:tcPr>
            <w:tcW w:w="1164" w:type="pct"/>
          </w:tcPr>
          <w:p w14:paraId="449771C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经办人姓名</w:t>
            </w:r>
          </w:p>
        </w:tc>
        <w:tc>
          <w:tcPr>
            <w:tcW w:w="1692" w:type="pct"/>
          </w:tcPr>
          <w:p w14:paraId="00F5536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医保必需</w:t>
            </w:r>
          </w:p>
        </w:tc>
      </w:tr>
      <w:tr w14:paraId="0EDBB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pct"/>
          </w:tcPr>
          <w:p w14:paraId="12692EE3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432" w:type="pct"/>
          </w:tcPr>
          <w:p w14:paraId="683877C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OPTER_TIME</w:t>
            </w:r>
          </w:p>
        </w:tc>
        <w:tc>
          <w:tcPr>
            <w:tcW w:w="1164" w:type="pct"/>
          </w:tcPr>
          <w:p w14:paraId="5957174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经办时间</w:t>
            </w:r>
          </w:p>
        </w:tc>
        <w:tc>
          <w:tcPr>
            <w:tcW w:w="1692" w:type="pct"/>
          </w:tcPr>
          <w:p w14:paraId="7D24FBC5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医保必需</w:t>
            </w:r>
          </w:p>
        </w:tc>
      </w:tr>
      <w:tr w14:paraId="64399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0" w:type="pct"/>
          </w:tcPr>
          <w:p w14:paraId="11ED957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432" w:type="pct"/>
          </w:tcPr>
          <w:p w14:paraId="628C129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POOLAREA_NO</w:t>
            </w:r>
          </w:p>
        </w:tc>
        <w:tc>
          <w:tcPr>
            <w:tcW w:w="1164" w:type="pct"/>
          </w:tcPr>
          <w:p w14:paraId="32B2ACD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统筹区编号</w:t>
            </w:r>
          </w:p>
        </w:tc>
        <w:tc>
          <w:tcPr>
            <w:tcW w:w="1692" w:type="pct"/>
          </w:tcPr>
          <w:p w14:paraId="0B9EC00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医保必需</w:t>
            </w:r>
          </w:p>
        </w:tc>
      </w:tr>
      <w:tr w14:paraId="7ED06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pct"/>
          </w:tcPr>
          <w:p w14:paraId="5770E7E2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1432" w:type="pct"/>
          </w:tcPr>
          <w:p w14:paraId="217CA03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OPTINS_NO</w:t>
            </w:r>
          </w:p>
        </w:tc>
        <w:tc>
          <w:tcPr>
            <w:tcW w:w="1164" w:type="pct"/>
          </w:tcPr>
          <w:p w14:paraId="451C4DE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经办机构编号</w:t>
            </w:r>
          </w:p>
        </w:tc>
        <w:tc>
          <w:tcPr>
            <w:tcW w:w="1692" w:type="pct"/>
          </w:tcPr>
          <w:p w14:paraId="69E4850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医保必需</w:t>
            </w:r>
          </w:p>
        </w:tc>
      </w:tr>
      <w:tr w14:paraId="5EBE8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pct"/>
          </w:tcPr>
          <w:p w14:paraId="4DA17CD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</w:t>
            </w:r>
          </w:p>
        </w:tc>
        <w:tc>
          <w:tcPr>
            <w:tcW w:w="1432" w:type="pct"/>
          </w:tcPr>
          <w:p w14:paraId="473F59E3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DATA_RANK</w:t>
            </w:r>
          </w:p>
        </w:tc>
        <w:tc>
          <w:tcPr>
            <w:tcW w:w="1164" w:type="pct"/>
          </w:tcPr>
          <w:p w14:paraId="6468372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数据密级</w:t>
            </w:r>
          </w:p>
        </w:tc>
        <w:tc>
          <w:tcPr>
            <w:tcW w:w="1692" w:type="pct"/>
          </w:tcPr>
          <w:p w14:paraId="0D17A26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通用管理字段</w:t>
            </w:r>
          </w:p>
        </w:tc>
      </w:tr>
    </w:tbl>
    <w:p w14:paraId="4E8383AA">
      <w:pPr>
        <w:spacing w:line="360" w:lineRule="auto"/>
        <w:ind w:firstLine="48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1813E017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医师/护师/技师/药师字段</w:t>
      </w:r>
      <w:r>
        <w:rPr>
          <w:rFonts w:hint="eastAsia" w:ascii="宋体" w:hAnsi="宋体" w:eastAsia="宋体" w:cs="宋体"/>
          <w:b/>
          <w:sz w:val="24"/>
          <w:szCs w:val="24"/>
        </w:rPr>
        <w:t>：以以下标准代码结尾，规则如下：</w:t>
      </w:r>
    </w:p>
    <w:tbl>
      <w:tblPr>
        <w:tblStyle w:val="2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835"/>
        <w:gridCol w:w="1984"/>
        <w:gridCol w:w="2885"/>
      </w:tblGrid>
      <w:tr w14:paraId="57FF8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  <w:shd w:val="clear" w:color="auto" w:fill="auto"/>
          </w:tcPr>
          <w:p w14:paraId="4BDB471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663" w:type="pct"/>
            <w:shd w:val="clear" w:color="auto" w:fill="auto"/>
          </w:tcPr>
          <w:p w14:paraId="36428636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字段英文名</w:t>
            </w:r>
          </w:p>
        </w:tc>
        <w:tc>
          <w:tcPr>
            <w:tcW w:w="1164" w:type="pct"/>
            <w:shd w:val="clear" w:color="auto" w:fill="auto"/>
          </w:tcPr>
          <w:p w14:paraId="31238515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字段中文名</w:t>
            </w:r>
          </w:p>
        </w:tc>
        <w:tc>
          <w:tcPr>
            <w:tcW w:w="1692" w:type="pct"/>
            <w:shd w:val="clear" w:color="auto" w:fill="auto"/>
          </w:tcPr>
          <w:p w14:paraId="3AB54AB3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字段说明</w:t>
            </w:r>
          </w:p>
        </w:tc>
      </w:tr>
      <w:tr w14:paraId="23BCD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00F3798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663" w:type="pct"/>
          </w:tcPr>
          <w:p w14:paraId="17896E55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DOCTOR_CODE</w:t>
            </w:r>
          </w:p>
        </w:tc>
        <w:tc>
          <w:tcPr>
            <w:tcW w:w="1164" w:type="pct"/>
          </w:tcPr>
          <w:p w14:paraId="0E5A8142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医师编码-院内</w:t>
            </w:r>
          </w:p>
        </w:tc>
        <w:tc>
          <w:tcPr>
            <w:tcW w:w="1692" w:type="pct"/>
          </w:tcPr>
          <w:p w14:paraId="411D7FC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以DOCTOR_CODE结尾</w:t>
            </w:r>
          </w:p>
        </w:tc>
      </w:tr>
      <w:tr w14:paraId="3A0C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1E264A5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663" w:type="pct"/>
          </w:tcPr>
          <w:p w14:paraId="3DFF28A6">
            <w:pPr>
              <w:spacing w:line="360" w:lineRule="auto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DOCTOR_CODE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_STD</w:t>
            </w:r>
          </w:p>
        </w:tc>
        <w:tc>
          <w:tcPr>
            <w:tcW w:w="1164" w:type="pct"/>
          </w:tcPr>
          <w:p w14:paraId="00C74CDD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医师编码-标准</w:t>
            </w:r>
          </w:p>
        </w:tc>
        <w:tc>
          <w:tcPr>
            <w:tcW w:w="1692" w:type="pct"/>
          </w:tcPr>
          <w:p w14:paraId="78DC649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DOCTOR_STDCODE结尾</w:t>
            </w:r>
          </w:p>
        </w:tc>
      </w:tr>
      <w:tr w14:paraId="51B80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1DDE46D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663" w:type="pct"/>
          </w:tcPr>
          <w:p w14:paraId="73512BC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DOCTOR_CERTNO</w:t>
            </w:r>
          </w:p>
        </w:tc>
        <w:tc>
          <w:tcPr>
            <w:tcW w:w="1164" w:type="pct"/>
          </w:tcPr>
          <w:p w14:paraId="0C08700C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医师执业证编号</w:t>
            </w:r>
          </w:p>
        </w:tc>
        <w:tc>
          <w:tcPr>
            <w:tcW w:w="1692" w:type="pct"/>
          </w:tcPr>
          <w:p w14:paraId="3ABF233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以DOCTOR_CERTNO结尾</w:t>
            </w:r>
          </w:p>
        </w:tc>
      </w:tr>
      <w:tr w14:paraId="5BEC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1CB69C4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663" w:type="pct"/>
          </w:tcPr>
          <w:p w14:paraId="2495B8B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DOCTOR_NAME</w:t>
            </w:r>
          </w:p>
        </w:tc>
        <w:tc>
          <w:tcPr>
            <w:tcW w:w="1164" w:type="pct"/>
          </w:tcPr>
          <w:p w14:paraId="1EDC206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医师姓名</w:t>
            </w:r>
          </w:p>
        </w:tc>
        <w:tc>
          <w:tcPr>
            <w:tcW w:w="1692" w:type="pct"/>
          </w:tcPr>
          <w:p w14:paraId="7DD47DD6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DOCTOR_NAME结尾</w:t>
            </w:r>
          </w:p>
        </w:tc>
      </w:tr>
    </w:tbl>
    <w:p w14:paraId="356A5E1B">
      <w:pPr>
        <w:numPr>
          <w:ilvl w:val="-1"/>
          <w:numId w:val="0"/>
        </w:numPr>
        <w:spacing w:line="360" w:lineRule="auto"/>
        <w:ind w:left="0" w:firstLine="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5957E755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科室字段</w:t>
      </w:r>
      <w:r>
        <w:rPr>
          <w:rFonts w:hint="eastAsia" w:ascii="宋体" w:hAnsi="宋体" w:eastAsia="宋体" w:cs="宋体"/>
          <w:b/>
          <w:sz w:val="24"/>
          <w:szCs w:val="24"/>
        </w:rPr>
        <w:t>：以以下标准代码结尾，规则如下：</w:t>
      </w:r>
    </w:p>
    <w:tbl>
      <w:tblPr>
        <w:tblStyle w:val="2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835"/>
        <w:gridCol w:w="1984"/>
        <w:gridCol w:w="2885"/>
      </w:tblGrid>
      <w:tr w14:paraId="786CB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  <w:shd w:val="clear" w:color="auto" w:fill="auto"/>
          </w:tcPr>
          <w:p w14:paraId="1C529F3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663" w:type="pct"/>
            <w:shd w:val="clear" w:color="auto" w:fill="auto"/>
          </w:tcPr>
          <w:p w14:paraId="28B3CE90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字段英文名</w:t>
            </w:r>
          </w:p>
        </w:tc>
        <w:tc>
          <w:tcPr>
            <w:tcW w:w="1164" w:type="pct"/>
            <w:shd w:val="clear" w:color="auto" w:fill="auto"/>
          </w:tcPr>
          <w:p w14:paraId="15083744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字段中文名</w:t>
            </w:r>
          </w:p>
        </w:tc>
        <w:tc>
          <w:tcPr>
            <w:tcW w:w="1692" w:type="pct"/>
            <w:shd w:val="clear" w:color="auto" w:fill="auto"/>
          </w:tcPr>
          <w:p w14:paraId="773CF415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字段说明</w:t>
            </w:r>
          </w:p>
        </w:tc>
      </w:tr>
      <w:tr w14:paraId="7CD41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7D74258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663" w:type="pct"/>
          </w:tcPr>
          <w:p w14:paraId="6BD1D003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DEPT_CODE</w:t>
            </w:r>
          </w:p>
        </w:tc>
        <w:tc>
          <w:tcPr>
            <w:tcW w:w="1164" w:type="pct"/>
          </w:tcPr>
          <w:p w14:paraId="6B26070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科室编码-院内</w:t>
            </w:r>
          </w:p>
        </w:tc>
        <w:tc>
          <w:tcPr>
            <w:tcW w:w="1692" w:type="pct"/>
          </w:tcPr>
          <w:p w14:paraId="2CE8DF87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263C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6E7FD7F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663" w:type="pct"/>
          </w:tcPr>
          <w:p w14:paraId="398CF67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DEPT_NAME</w:t>
            </w:r>
          </w:p>
        </w:tc>
        <w:tc>
          <w:tcPr>
            <w:tcW w:w="1164" w:type="pct"/>
          </w:tcPr>
          <w:p w14:paraId="6FD84E6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科室名称-院内</w:t>
            </w:r>
          </w:p>
        </w:tc>
        <w:tc>
          <w:tcPr>
            <w:tcW w:w="1692" w:type="pct"/>
          </w:tcPr>
          <w:p w14:paraId="5844CC7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BE35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29687D8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663" w:type="pct"/>
          </w:tcPr>
          <w:p w14:paraId="28A3A5F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DEPT_CODE_STD</w:t>
            </w:r>
          </w:p>
        </w:tc>
        <w:tc>
          <w:tcPr>
            <w:tcW w:w="1164" w:type="pct"/>
          </w:tcPr>
          <w:p w14:paraId="2921CD7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科室编码-标准</w:t>
            </w:r>
          </w:p>
        </w:tc>
        <w:tc>
          <w:tcPr>
            <w:tcW w:w="1692" w:type="pct"/>
          </w:tcPr>
          <w:p w14:paraId="10D5246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3739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3BCC6CC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663" w:type="pct"/>
          </w:tcPr>
          <w:p w14:paraId="2C753ED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DEPT_NAME_STD</w:t>
            </w:r>
          </w:p>
        </w:tc>
        <w:tc>
          <w:tcPr>
            <w:tcW w:w="1164" w:type="pct"/>
          </w:tcPr>
          <w:p w14:paraId="28F9B62C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科室名称-标准</w:t>
            </w:r>
          </w:p>
        </w:tc>
        <w:tc>
          <w:tcPr>
            <w:tcW w:w="1692" w:type="pct"/>
          </w:tcPr>
          <w:p w14:paraId="0ECE829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75B6B698">
      <w:pPr>
        <w:numPr>
          <w:ilvl w:val="-1"/>
          <w:numId w:val="0"/>
        </w:numPr>
        <w:spacing w:line="360" w:lineRule="auto"/>
        <w:ind w:left="0" w:firstLine="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5C30A79C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药品字段：以以下标准代码结尾，规则如下</w:t>
      </w:r>
    </w:p>
    <w:tbl>
      <w:tblPr>
        <w:tblStyle w:val="2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835"/>
        <w:gridCol w:w="1984"/>
        <w:gridCol w:w="2885"/>
      </w:tblGrid>
      <w:tr w14:paraId="56F6F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  <w:shd w:val="clear" w:color="auto" w:fill="auto"/>
          </w:tcPr>
          <w:p w14:paraId="228D37F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663" w:type="pct"/>
            <w:shd w:val="clear" w:color="auto" w:fill="auto"/>
          </w:tcPr>
          <w:p w14:paraId="1EA9D66E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字段英文名</w:t>
            </w:r>
          </w:p>
        </w:tc>
        <w:tc>
          <w:tcPr>
            <w:tcW w:w="1164" w:type="pct"/>
            <w:shd w:val="clear" w:color="auto" w:fill="auto"/>
          </w:tcPr>
          <w:p w14:paraId="7493F48D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字段中文名</w:t>
            </w:r>
          </w:p>
        </w:tc>
        <w:tc>
          <w:tcPr>
            <w:tcW w:w="1692" w:type="pct"/>
            <w:shd w:val="clear" w:color="auto" w:fill="auto"/>
          </w:tcPr>
          <w:p w14:paraId="6B19C712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字段说明</w:t>
            </w:r>
          </w:p>
        </w:tc>
      </w:tr>
      <w:tr w14:paraId="62307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5B3501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663" w:type="pct"/>
          </w:tcPr>
          <w:p w14:paraId="1B9A6CF4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DRUG_CODE</w:t>
            </w:r>
          </w:p>
        </w:tc>
        <w:tc>
          <w:tcPr>
            <w:tcW w:w="1164" w:type="pct"/>
          </w:tcPr>
          <w:p w14:paraId="0E5293E7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药品编码-院内</w:t>
            </w:r>
          </w:p>
        </w:tc>
        <w:tc>
          <w:tcPr>
            <w:tcW w:w="1692" w:type="pct"/>
          </w:tcPr>
          <w:p w14:paraId="1100AE6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FAEA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794DE1B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663" w:type="pct"/>
          </w:tcPr>
          <w:p w14:paraId="3BD9129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DRUG_NAME</w:t>
            </w:r>
          </w:p>
        </w:tc>
        <w:tc>
          <w:tcPr>
            <w:tcW w:w="1164" w:type="pct"/>
          </w:tcPr>
          <w:p w14:paraId="11AB982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药品名称-院内</w:t>
            </w:r>
          </w:p>
        </w:tc>
        <w:tc>
          <w:tcPr>
            <w:tcW w:w="1692" w:type="pct"/>
          </w:tcPr>
          <w:p w14:paraId="7EF8F3D2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D8F8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5B8DF23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663" w:type="pct"/>
          </w:tcPr>
          <w:p w14:paraId="6F914812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DRUG_CODE_STD</w:t>
            </w:r>
          </w:p>
        </w:tc>
        <w:tc>
          <w:tcPr>
            <w:tcW w:w="1164" w:type="pct"/>
          </w:tcPr>
          <w:p w14:paraId="3386C79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药品编码-标准</w:t>
            </w:r>
          </w:p>
        </w:tc>
        <w:tc>
          <w:tcPr>
            <w:tcW w:w="1692" w:type="pct"/>
          </w:tcPr>
          <w:p w14:paraId="54A29DE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D34E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0744274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663" w:type="pct"/>
          </w:tcPr>
          <w:p w14:paraId="5CA447A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DRUG_NAME_STD</w:t>
            </w:r>
          </w:p>
        </w:tc>
        <w:tc>
          <w:tcPr>
            <w:tcW w:w="1164" w:type="pct"/>
          </w:tcPr>
          <w:p w14:paraId="255CCE1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药品名称-标准</w:t>
            </w:r>
          </w:p>
        </w:tc>
        <w:tc>
          <w:tcPr>
            <w:tcW w:w="1692" w:type="pct"/>
          </w:tcPr>
          <w:p w14:paraId="745B4A0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45FBED6B">
      <w:pPr>
        <w:numPr>
          <w:ilvl w:val="-1"/>
          <w:numId w:val="0"/>
        </w:numPr>
        <w:spacing w:line="360" w:lineRule="auto"/>
        <w:ind w:left="0" w:firstLine="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0389AD68">
      <w:pPr>
        <w:pStyle w:val="11"/>
        <w:numPr>
          <w:ilvl w:val="0"/>
          <w:numId w:val="9"/>
        </w:numPr>
        <w:ind w:left="0" w:firstLine="482" w:firstLineChars="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药耗材字段：以以下耗材标准代码结尾，规则如下</w:t>
      </w:r>
    </w:p>
    <w:tbl>
      <w:tblPr>
        <w:tblStyle w:val="2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835"/>
        <w:gridCol w:w="1984"/>
        <w:gridCol w:w="2885"/>
      </w:tblGrid>
      <w:tr w14:paraId="50C51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  <w:shd w:val="clear" w:color="auto" w:fill="auto"/>
          </w:tcPr>
          <w:p w14:paraId="4D16B328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663" w:type="pct"/>
            <w:shd w:val="clear" w:color="auto" w:fill="auto"/>
          </w:tcPr>
          <w:p w14:paraId="301F534A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字段英文名</w:t>
            </w:r>
          </w:p>
        </w:tc>
        <w:tc>
          <w:tcPr>
            <w:tcW w:w="1164" w:type="pct"/>
            <w:shd w:val="clear" w:color="auto" w:fill="auto"/>
          </w:tcPr>
          <w:p w14:paraId="48CA869A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字段中文名</w:t>
            </w:r>
          </w:p>
        </w:tc>
        <w:tc>
          <w:tcPr>
            <w:tcW w:w="1692" w:type="pct"/>
            <w:shd w:val="clear" w:color="auto" w:fill="auto"/>
          </w:tcPr>
          <w:p w14:paraId="152B721E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字段说明</w:t>
            </w:r>
          </w:p>
        </w:tc>
      </w:tr>
      <w:tr w14:paraId="38F36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33E6D07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663" w:type="pct"/>
          </w:tcPr>
          <w:p w14:paraId="38D8DF0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MAT_CODE</w:t>
            </w:r>
          </w:p>
        </w:tc>
        <w:tc>
          <w:tcPr>
            <w:tcW w:w="1164" w:type="pct"/>
          </w:tcPr>
          <w:p w14:paraId="72F1731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耗材编码-院内</w:t>
            </w:r>
          </w:p>
        </w:tc>
        <w:tc>
          <w:tcPr>
            <w:tcW w:w="1692" w:type="pct"/>
          </w:tcPr>
          <w:p w14:paraId="33D97893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B8A8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9" w:type="pct"/>
          </w:tcPr>
          <w:p w14:paraId="6CE42F3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663" w:type="pct"/>
          </w:tcPr>
          <w:p w14:paraId="08F38DEC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MAT_NAME</w:t>
            </w:r>
          </w:p>
        </w:tc>
        <w:tc>
          <w:tcPr>
            <w:tcW w:w="1164" w:type="pct"/>
          </w:tcPr>
          <w:p w14:paraId="02985AD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耗材名称-院内</w:t>
            </w:r>
          </w:p>
        </w:tc>
        <w:tc>
          <w:tcPr>
            <w:tcW w:w="1692" w:type="pct"/>
          </w:tcPr>
          <w:p w14:paraId="29E1EE95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ACF2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6BD082A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663" w:type="pct"/>
          </w:tcPr>
          <w:p w14:paraId="3931DB0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MAT_CODE_STD</w:t>
            </w:r>
          </w:p>
        </w:tc>
        <w:tc>
          <w:tcPr>
            <w:tcW w:w="1164" w:type="pct"/>
          </w:tcPr>
          <w:p w14:paraId="48AB52A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耗材编码-标准</w:t>
            </w:r>
          </w:p>
        </w:tc>
        <w:tc>
          <w:tcPr>
            <w:tcW w:w="1692" w:type="pct"/>
          </w:tcPr>
          <w:p w14:paraId="6F8EF80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C5DE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</w:tcPr>
          <w:p w14:paraId="586683D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663" w:type="pct"/>
          </w:tcPr>
          <w:p w14:paraId="6FDD41D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MAT_NAME_STD</w:t>
            </w:r>
          </w:p>
        </w:tc>
        <w:tc>
          <w:tcPr>
            <w:tcW w:w="1164" w:type="pct"/>
          </w:tcPr>
          <w:p w14:paraId="1634F5A2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耗材名称-标准</w:t>
            </w:r>
          </w:p>
        </w:tc>
        <w:tc>
          <w:tcPr>
            <w:tcW w:w="1692" w:type="pct"/>
          </w:tcPr>
          <w:p w14:paraId="08C017C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5020987E">
      <w:pPr>
        <w:pStyle w:val="11"/>
        <w:numPr>
          <w:ilvl w:val="0"/>
          <w:numId w:val="9"/>
        </w:numPr>
        <w:ind w:firstLine="482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值域：凡是涉及值域的，须包括值域代码和值域名称</w:t>
      </w:r>
      <w:bookmarkStart w:id="89" w:name="heading_15"/>
    </w:p>
    <w:p w14:paraId="2EF987A7">
      <w:pPr>
        <w:pStyle w:val="2"/>
        <w:bidi w:val="0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90" w:name="_Toc14737"/>
      <w:bookmarkStart w:id="91" w:name="_Toc30262"/>
      <w:bookmarkStart w:id="92" w:name="_Toc7131"/>
      <w:bookmarkStart w:id="93" w:name="_Toc15524"/>
      <w:r>
        <w:rPr>
          <w:rFonts w:hint="eastAsia" w:ascii="宋体" w:hAnsi="宋体" w:eastAsia="宋体" w:cs="宋体"/>
          <w:b/>
          <w:bCs/>
          <w:sz w:val="30"/>
          <w:szCs w:val="30"/>
        </w:rPr>
        <w:t>重大意见分歧的处理</w:t>
      </w:r>
      <w:bookmarkEnd w:id="89"/>
      <w:bookmarkEnd w:id="90"/>
      <w:bookmarkEnd w:id="91"/>
      <w:bookmarkEnd w:id="92"/>
      <w:bookmarkEnd w:id="93"/>
    </w:p>
    <w:p w14:paraId="675A1D4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标准编制过程中，出现重大分歧时首先由三医标准组内部组织讨论、评审，根据评审意见进行整改；未达成一致意见组织专家进行评审，然后根据专家意见进行调整，所有意见全部闭环落实；最终标准文件都必须经过专家评审通过后予以发布。</w:t>
      </w:r>
    </w:p>
    <w:p w14:paraId="0744BB6C">
      <w:pPr>
        <w:pStyle w:val="2"/>
        <w:bidi w:val="0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94" w:name="_Toc7492"/>
      <w:bookmarkStart w:id="95" w:name="heading_16"/>
      <w:bookmarkStart w:id="96" w:name="_Toc17366"/>
      <w:bookmarkStart w:id="97" w:name="_Toc20982"/>
      <w:bookmarkStart w:id="98" w:name="_Toc25639"/>
      <w:r>
        <w:rPr>
          <w:rFonts w:hint="eastAsia" w:ascii="宋体" w:hAnsi="宋体" w:eastAsia="宋体" w:cs="宋体"/>
          <w:b/>
          <w:bCs/>
          <w:sz w:val="30"/>
          <w:szCs w:val="30"/>
        </w:rPr>
        <w:t>与国家法律法规和强制性标准的关系</w:t>
      </w:r>
      <w:bookmarkEnd w:id="94"/>
      <w:bookmarkEnd w:id="95"/>
      <w:bookmarkEnd w:id="96"/>
      <w:bookmarkEnd w:id="97"/>
      <w:bookmarkEnd w:id="98"/>
    </w:p>
    <w:p w14:paraId="253F2CD1">
      <w:pPr>
        <w:pStyle w:val="11"/>
        <w:numPr>
          <w:ilvl w:val="0"/>
          <w:numId w:val="10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合规性</w:t>
      </w:r>
      <w:r>
        <w:rPr>
          <w:rFonts w:hint="eastAsia" w:ascii="宋体" w:hAnsi="宋体" w:eastAsia="宋体" w:cs="宋体"/>
          <w:sz w:val="24"/>
          <w:szCs w:val="24"/>
        </w:rPr>
        <w:t>：本标准全部条款符合《基本医疗卫生与健康促进法》《药品管理法》《医疗保障基金使用监督管理条例》等法律法规，无违反强制性标准内容；</w:t>
      </w:r>
    </w:p>
    <w:p w14:paraId="3E8E990D">
      <w:pPr>
        <w:pStyle w:val="11"/>
        <w:numPr>
          <w:ilvl w:val="0"/>
          <w:numId w:val="10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与国标行标关系</w:t>
      </w:r>
      <w:r>
        <w:rPr>
          <w:rFonts w:hint="eastAsia" w:ascii="宋体" w:hAnsi="宋体" w:eastAsia="宋体" w:cs="宋体"/>
          <w:sz w:val="24"/>
          <w:szCs w:val="24"/>
        </w:rPr>
        <w:t>：国标、行标内容完整沿用，新增值域、数据集仅做本地化补充，二者并行兼容、不存在冲突；</w:t>
      </w:r>
    </w:p>
    <w:p w14:paraId="67325742">
      <w:pPr>
        <w:pStyle w:val="11"/>
        <w:numPr>
          <w:ilvl w:val="0"/>
          <w:numId w:val="10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与其他省份标准</w:t>
      </w:r>
      <w:r>
        <w:rPr>
          <w:rFonts w:hint="eastAsia" w:ascii="宋体" w:hAnsi="宋体" w:eastAsia="宋体" w:cs="宋体"/>
          <w:sz w:val="24"/>
          <w:szCs w:val="24"/>
        </w:rPr>
        <w:t>：参考外省三医标准框架，但数据集、值域架构为河南本土化创新，无内容矛盾。</w:t>
      </w:r>
    </w:p>
    <w:p w14:paraId="22205850">
      <w:pPr>
        <w:pStyle w:val="2"/>
        <w:bidi w:val="0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99" w:name="heading_17"/>
      <w:bookmarkStart w:id="100" w:name="_Toc26048"/>
      <w:bookmarkStart w:id="101" w:name="_Toc30975"/>
      <w:bookmarkStart w:id="102" w:name="_Toc15975"/>
      <w:bookmarkStart w:id="103" w:name="_Toc3470"/>
      <w:r>
        <w:rPr>
          <w:rFonts w:hint="eastAsia" w:ascii="宋体" w:hAnsi="宋体" w:eastAsia="宋体" w:cs="宋体"/>
          <w:b/>
          <w:bCs/>
          <w:sz w:val="30"/>
          <w:szCs w:val="30"/>
        </w:rPr>
        <w:t>标准实施的建议</w:t>
      </w:r>
      <w:bookmarkEnd w:id="99"/>
      <w:bookmarkEnd w:id="100"/>
      <w:bookmarkEnd w:id="101"/>
      <w:bookmarkEnd w:id="102"/>
      <w:bookmarkEnd w:id="103"/>
    </w:p>
    <w:p w14:paraId="51A994EE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104" w:name="_Toc9745"/>
      <w:bookmarkStart w:id="105" w:name="_Toc12287"/>
      <w:bookmarkStart w:id="106" w:name="_Toc31429"/>
      <w:bookmarkStart w:id="107" w:name="_Toc13816"/>
      <w:bookmarkStart w:id="108" w:name="heading_18"/>
      <w:r>
        <w:rPr>
          <w:rFonts w:hint="eastAsia" w:ascii="宋体" w:hAnsi="宋体" w:eastAsia="宋体" w:cs="宋体"/>
          <w:b/>
          <w:bCs/>
          <w:sz w:val="28"/>
          <w:szCs w:val="28"/>
        </w:rPr>
        <w:t>组织措施</w:t>
      </w:r>
      <w:bookmarkEnd w:id="104"/>
      <w:bookmarkEnd w:id="105"/>
      <w:bookmarkEnd w:id="106"/>
      <w:bookmarkEnd w:id="107"/>
      <w:bookmarkEnd w:id="108"/>
    </w:p>
    <w:p w14:paraId="2075DDDF">
      <w:pPr>
        <w:pStyle w:val="11"/>
        <w:numPr>
          <w:ilvl w:val="0"/>
          <w:numId w:val="11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分层培训宣贯：省级统一开展标准培训，各地市按照数据源分类组织专项解读，组织数据标准培训</w:t>
      </w:r>
      <w:r>
        <w:rPr>
          <w:rFonts w:hint="eastAsia" w:ascii="宋体" w:hAnsi="宋体" w:cs="宋体"/>
          <w:sz w:val="24"/>
          <w:szCs w:val="24"/>
          <w:lang w:eastAsia="zh-CN"/>
        </w:rPr>
        <w:t>班</w:t>
      </w:r>
      <w:r>
        <w:rPr>
          <w:rFonts w:hint="eastAsia" w:ascii="宋体" w:hAnsi="宋体" w:eastAsia="宋体" w:cs="宋体"/>
          <w:sz w:val="24"/>
          <w:szCs w:val="24"/>
        </w:rPr>
        <w:t>，收集意见和建议；</w:t>
      </w:r>
    </w:p>
    <w:p w14:paraId="4FE3A7B8">
      <w:pPr>
        <w:pStyle w:val="11"/>
        <w:numPr>
          <w:ilvl w:val="0"/>
          <w:numId w:val="11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设置6个月新旧并行过渡期，过渡期后所有新建信息系统</w:t>
      </w:r>
      <w:r>
        <w:rPr>
          <w:rFonts w:hint="eastAsia" w:ascii="宋体" w:hAnsi="宋体" w:cs="宋体"/>
          <w:sz w:val="24"/>
          <w:szCs w:val="24"/>
          <w:lang w:eastAsia="zh-CN"/>
        </w:rPr>
        <w:t>应</w:t>
      </w:r>
      <w:r>
        <w:rPr>
          <w:rFonts w:hint="eastAsia" w:ascii="宋体" w:hAnsi="宋体" w:eastAsia="宋体" w:cs="宋体"/>
          <w:sz w:val="24"/>
          <w:szCs w:val="24"/>
        </w:rPr>
        <w:t>执行本标准规范；</w:t>
      </w:r>
    </w:p>
    <w:p w14:paraId="3F64E140">
      <w:pPr>
        <w:pStyle w:val="11"/>
        <w:numPr>
          <w:ilvl w:val="0"/>
          <w:numId w:val="11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建立标准</w:t>
      </w:r>
      <w:r>
        <w:rPr>
          <w:rFonts w:hint="eastAsia" w:ascii="宋体" w:hAnsi="宋体" w:cs="宋体"/>
          <w:sz w:val="24"/>
          <w:szCs w:val="24"/>
          <w:lang w:eastAsia="zh-CN"/>
        </w:rPr>
        <w:t>标准管理制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  <w:lang w:eastAsia="zh-CN"/>
        </w:rPr>
        <w:t>对标准体系进行</w:t>
      </w:r>
      <w:r>
        <w:rPr>
          <w:rFonts w:hint="eastAsia" w:ascii="宋体" w:hAnsi="宋体" w:eastAsia="宋体" w:cs="宋体"/>
          <w:sz w:val="24"/>
          <w:szCs w:val="24"/>
        </w:rPr>
        <w:t>常态化</w:t>
      </w:r>
      <w:r>
        <w:rPr>
          <w:rFonts w:hint="eastAsia" w:ascii="宋体" w:hAnsi="宋体" w:cs="宋体"/>
          <w:sz w:val="24"/>
          <w:szCs w:val="24"/>
          <w:lang w:eastAsia="zh-CN"/>
        </w:rPr>
        <w:t>管理，</w:t>
      </w:r>
      <w:r>
        <w:rPr>
          <w:rFonts w:hint="eastAsia" w:ascii="宋体" w:hAnsi="宋体" w:eastAsia="宋体" w:cs="宋体"/>
          <w:sz w:val="24"/>
          <w:szCs w:val="24"/>
        </w:rPr>
        <w:t>每年根据国家新标准、省内业务迭代更新值域与数据集内容。</w:t>
      </w:r>
    </w:p>
    <w:p w14:paraId="1E073410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109" w:name="_Toc2964"/>
      <w:bookmarkStart w:id="110" w:name="_Toc6380"/>
      <w:bookmarkStart w:id="111" w:name="heading_19"/>
      <w:bookmarkStart w:id="112" w:name="_Toc9043"/>
      <w:bookmarkStart w:id="113" w:name="_Toc24699"/>
      <w:r>
        <w:rPr>
          <w:rFonts w:hint="eastAsia" w:ascii="宋体" w:hAnsi="宋体" w:eastAsia="宋体" w:cs="宋体"/>
          <w:b/>
          <w:bCs/>
          <w:sz w:val="28"/>
          <w:szCs w:val="28"/>
        </w:rPr>
        <w:t>技术措施</w:t>
      </w:r>
      <w:bookmarkEnd w:id="109"/>
      <w:bookmarkEnd w:id="110"/>
      <w:bookmarkEnd w:id="111"/>
      <w:bookmarkEnd w:id="112"/>
      <w:bookmarkEnd w:id="113"/>
    </w:p>
    <w:p w14:paraId="2DC37B1A">
      <w:pPr>
        <w:pStyle w:val="11"/>
        <w:numPr>
          <w:ilvl w:val="0"/>
          <w:numId w:val="12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三医一张网平台内置数据自动校验引擎，自动核验数据项值域合规性，拦截不合格数据；</w:t>
      </w:r>
    </w:p>
    <w:p w14:paraId="1AB37E84">
      <w:pPr>
        <w:pStyle w:val="11"/>
        <w:numPr>
          <w:ilvl w:val="0"/>
          <w:numId w:val="12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配套标准管理网站：下发最新标准，对所有标准进行动态管理，进行分层分类管理；</w:t>
      </w:r>
    </w:p>
    <w:p w14:paraId="3B9075F4">
      <w:pPr>
        <w:pStyle w:val="11"/>
        <w:numPr>
          <w:ilvl w:val="0"/>
          <w:numId w:val="12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按数据源设立专项技术支撑专班，分别对接卫健、医保、药监等机构。</w:t>
      </w:r>
    </w:p>
    <w:p w14:paraId="6828FA2C">
      <w:pPr>
        <w:pStyle w:val="3"/>
        <w:bidi w:val="0"/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114" w:name="_Toc32352"/>
      <w:bookmarkStart w:id="115" w:name="_Toc5535"/>
      <w:bookmarkStart w:id="116" w:name="_Toc19540"/>
      <w:bookmarkStart w:id="117" w:name="heading_20"/>
      <w:bookmarkStart w:id="118" w:name="_Toc21902"/>
      <w:r>
        <w:rPr>
          <w:rFonts w:hint="eastAsia" w:ascii="宋体" w:hAnsi="宋体" w:eastAsia="宋体" w:cs="宋体"/>
          <w:b/>
          <w:bCs/>
          <w:sz w:val="28"/>
          <w:szCs w:val="28"/>
        </w:rPr>
        <w:t>过渡配套办法</w:t>
      </w:r>
      <w:bookmarkEnd w:id="114"/>
      <w:bookmarkEnd w:id="115"/>
      <w:bookmarkEnd w:id="116"/>
      <w:bookmarkEnd w:id="117"/>
      <w:bookmarkEnd w:id="118"/>
    </w:p>
    <w:p w14:paraId="1943B24B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设置12个月历史数据清洗迁移窗口期，存量数据允许分批次转换；面向基层小型医疗机构、零售药店提供轻量化填报模板，降低系统对接改造难度。</w:t>
      </w:r>
    </w:p>
    <w:p w14:paraId="3AB71A35">
      <w:pPr>
        <w:pStyle w:val="2"/>
        <w:bidi w:val="0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119" w:name="_Toc31463"/>
      <w:bookmarkStart w:id="120" w:name="_Toc1436"/>
      <w:bookmarkStart w:id="121" w:name="heading_21"/>
      <w:bookmarkStart w:id="122" w:name="_Toc8507"/>
      <w:bookmarkStart w:id="123" w:name="_Toc23213"/>
      <w:r>
        <w:rPr>
          <w:rFonts w:hint="eastAsia" w:ascii="宋体" w:hAnsi="宋体" w:eastAsia="宋体" w:cs="宋体"/>
          <w:b/>
          <w:bCs/>
          <w:sz w:val="30"/>
          <w:szCs w:val="30"/>
        </w:rPr>
        <w:t>其他应予说明的事项</w:t>
      </w:r>
      <w:bookmarkEnd w:id="119"/>
      <w:bookmarkEnd w:id="120"/>
      <w:bookmarkEnd w:id="121"/>
      <w:bookmarkEnd w:id="122"/>
      <w:bookmarkEnd w:id="123"/>
    </w:p>
    <w:p w14:paraId="2F7D4DAA">
      <w:pPr>
        <w:pStyle w:val="11"/>
        <w:numPr>
          <w:ilvl w:val="0"/>
          <w:numId w:val="13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本标准由河南“三医一张网”项目标准组负责解释；</w:t>
      </w:r>
    </w:p>
    <w:p w14:paraId="2C5E2530">
      <w:pPr>
        <w:pStyle w:val="11"/>
        <w:numPr>
          <w:ilvl w:val="0"/>
          <w:numId w:val="13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值域字典、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33</w:t>
      </w:r>
      <w:r>
        <w:rPr>
          <w:rFonts w:hint="eastAsia" w:ascii="宋体" w:hAnsi="宋体" w:eastAsia="宋体" w:cs="宋体"/>
          <w:sz w:val="24"/>
          <w:szCs w:val="24"/>
        </w:rPr>
        <w:t>类数据集须配套同步使用，不可拆分单独执行；</w:t>
      </w:r>
    </w:p>
    <w:p w14:paraId="02C0FE8F">
      <w:pPr>
        <w:pStyle w:val="11"/>
        <w:numPr>
          <w:ilvl w:val="0"/>
          <w:numId w:val="13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整套四大分册</w:t>
      </w:r>
      <w:r>
        <w:rPr>
          <w:rFonts w:hint="eastAsia" w:ascii="宋体" w:hAnsi="宋体" w:cs="宋体"/>
          <w:sz w:val="24"/>
          <w:szCs w:val="24"/>
          <w:lang w:eastAsia="zh-CN"/>
        </w:rPr>
        <w:t>是完整的标准体系，是</w:t>
      </w:r>
      <w:r>
        <w:rPr>
          <w:rFonts w:hint="eastAsia" w:ascii="宋体" w:hAnsi="宋体" w:eastAsia="宋体" w:cs="宋体"/>
          <w:sz w:val="24"/>
          <w:szCs w:val="24"/>
        </w:rPr>
        <w:t>全省</w:t>
      </w:r>
      <w:r>
        <w:rPr>
          <w:rFonts w:hint="eastAsia" w:ascii="宋体" w:hAnsi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三医一张网</w:t>
      </w:r>
      <w:r>
        <w:rPr>
          <w:rFonts w:hint="eastAsia" w:ascii="宋体" w:hAnsi="宋体" w:cs="宋体"/>
          <w:sz w:val="24"/>
          <w:szCs w:val="24"/>
          <w:lang w:eastAsia="zh-CN"/>
        </w:rPr>
        <w:t>”基础</w:t>
      </w:r>
      <w:r>
        <w:rPr>
          <w:rFonts w:hint="eastAsia" w:ascii="宋体" w:hAnsi="宋体" w:eastAsia="宋体" w:cs="宋体"/>
          <w:sz w:val="24"/>
          <w:szCs w:val="24"/>
        </w:rPr>
        <w:t>数据</w:t>
      </w:r>
      <w:r>
        <w:rPr>
          <w:rFonts w:hint="eastAsia" w:ascii="宋体" w:hAnsi="宋体" w:cs="宋体"/>
          <w:sz w:val="24"/>
          <w:szCs w:val="24"/>
          <w:lang w:eastAsia="zh-CN"/>
        </w:rPr>
        <w:t>标准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5C36AAFF">
      <w:pPr>
        <w:pStyle w:val="11"/>
        <w:numPr>
          <w:ilvl w:val="0"/>
          <w:numId w:val="13"/>
        </w:numPr>
        <w:spacing w:before="120" w:after="120"/>
        <w:ind w:left="845" w:hanging="425" w:firstLineChars="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国家发布新版卫生、医保、药械行业标准后，将同步修订本标准对应值域、数据集内容。</w:t>
      </w:r>
    </w:p>
    <w:p w14:paraId="15F8D9F5">
      <w:pPr>
        <w:pStyle w:val="2"/>
        <w:bidi w:val="0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124" w:name="heading_22"/>
      <w:bookmarkStart w:id="125" w:name="_Toc16152"/>
      <w:bookmarkStart w:id="126" w:name="_Toc17971"/>
      <w:bookmarkStart w:id="127" w:name="_Toc30352"/>
      <w:bookmarkStart w:id="128" w:name="_Toc3747"/>
      <w:r>
        <w:rPr>
          <w:rFonts w:hint="eastAsia" w:ascii="宋体" w:hAnsi="宋体" w:eastAsia="宋体" w:cs="宋体"/>
          <w:b/>
          <w:bCs/>
          <w:sz w:val="30"/>
          <w:szCs w:val="30"/>
        </w:rPr>
        <w:t>附表：</w:t>
      </w:r>
      <w:bookmarkEnd w:id="124"/>
      <w:bookmarkEnd w:id="125"/>
      <w:bookmarkEnd w:id="126"/>
      <w:bookmarkEnd w:id="127"/>
      <w:bookmarkEnd w:id="128"/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河南省“三医一张网”数据标准情况一览表</w:t>
      </w:r>
    </w:p>
    <w:tbl>
      <w:tblPr>
        <w:tblStyle w:val="19"/>
        <w:tblW w:w="8813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9"/>
        <w:gridCol w:w="1680"/>
        <w:gridCol w:w="1381"/>
        <w:gridCol w:w="2512"/>
        <w:gridCol w:w="1381"/>
      </w:tblGrid>
      <w:tr w14:paraId="3B1A1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D4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来源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6E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分册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CB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数据集数量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D03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数据集名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04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数据表数量</w:t>
            </w:r>
          </w:p>
        </w:tc>
      </w:tr>
      <w:tr w14:paraId="78B58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B0F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字典/值域</w:t>
            </w:r>
          </w:p>
        </w:tc>
        <w:tc>
          <w:tcPr>
            <w:tcW w:w="69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595F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字典（25个），值域（1821个）</w:t>
            </w:r>
          </w:p>
        </w:tc>
      </w:tr>
      <w:tr w14:paraId="434F0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FB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个人基本信息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685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个人基本信息</w:t>
            </w:r>
          </w:p>
        </w:tc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C0CB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38E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人员基本信息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C79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0FEE2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FB1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67B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5CCE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E1A8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家庭基本信息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0AB0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6F249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DC8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卫健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76A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医疗服务</w:t>
            </w:r>
          </w:p>
        </w:tc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54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68EC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患者基本信息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BCF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F35A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B5B0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CD7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99C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20E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医疗门诊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83EE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 w14:paraId="60C0B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2571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68F0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3CA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C49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医疗住院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720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</w:tr>
      <w:tr w14:paraId="35B50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368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BBB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DB66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B9A9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医疗检查检验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D0B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2A672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B977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E90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82C0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BE6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体检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405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6AF74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327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264E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714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E2B3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医疗质控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D06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4DCFA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35D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EDD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F72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09F3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药品耗材进销存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4568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</w:tr>
      <w:tr w14:paraId="2C4D9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1FD9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19C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E0F2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B62D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院后随访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B34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F9D6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C7B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93F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3C8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D60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传染病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0EC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8316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AB6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B02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公共卫生</w:t>
            </w:r>
          </w:p>
        </w:tc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766A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9B73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健康档案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C333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</w:tr>
      <w:tr w14:paraId="14D1B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446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6DB1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E1D6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416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健康教育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29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1637D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8EB5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8D45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BB9D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9B0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家庭医师签约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139C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 w14:paraId="63313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EC3F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104A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099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8384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慢病管理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642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</w:tr>
      <w:tr w14:paraId="01B8A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BD9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663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6EF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3626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老年人健康管理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7503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71F8C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B3C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97C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3110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F03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卫生监督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753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47D74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D58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755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1BE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8AF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突发公共卫生事件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4445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CBCA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2AA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医保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64AB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医疗保障</w:t>
            </w:r>
          </w:p>
        </w:tc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6EF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190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基础信息类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07A8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132AD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8361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615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D69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F44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公共业务类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667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</w:tr>
      <w:tr w14:paraId="11C1B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3E6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01B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353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1B7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医保待遇类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1A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</w:tr>
      <w:tr w14:paraId="2CC73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978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59F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307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84F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医保结算清单类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5E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6DE28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F95E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DA37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B49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8B9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基金拨付类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42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 w14:paraId="57C56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5AF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D84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ACE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C6FE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基金监管类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80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 w14:paraId="35DAB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0E7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41F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2C2D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CD78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异地就医类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73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 w14:paraId="1442A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F6F4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4E89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F42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EF3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招标采购类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9AC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 w14:paraId="4BC00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AA59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ACFE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8A96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419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支付方式类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2CD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655AF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765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D97B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367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A9B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电子处方类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55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57544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B5F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A56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2B1B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5DCA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移动支付类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5CF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6AF11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73C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8390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E5E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D90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场景监控类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4FEC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 w14:paraId="3C995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62A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药监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92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药品监管</w:t>
            </w:r>
          </w:p>
        </w:tc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CC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FD90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疫苗追溯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C43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</w:tr>
      <w:tr w14:paraId="58755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F03B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A548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BBC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383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药品追溯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2D9E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</w:tr>
      <w:tr w14:paraId="3E81E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581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CF1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B5A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0E3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医疗器械唯一标识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B0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 w14:paraId="4C6AE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0B3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1A7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B60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380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医疗器械注册与备案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02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 w14:paraId="090A3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245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1DB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2A1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6E86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体外诊断实际注册与备案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88E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 w14:paraId="07CE2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723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A6D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677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FAE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化妆品生产许可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CD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 w14:paraId="0825F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8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2C5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合计：25个字典，1821个值域，36个数据集，536个数据表</w:t>
            </w:r>
          </w:p>
        </w:tc>
      </w:tr>
    </w:tbl>
    <w:p w14:paraId="350F15B5">
      <w:pPr>
        <w:spacing w:before="120" w:after="120"/>
        <w:jc w:val="left"/>
        <w:rPr>
          <w:rFonts w:hint="eastAsia" w:ascii="宋体" w:hAnsi="宋体" w:eastAsia="宋体" w:cs="宋体"/>
        </w:rPr>
      </w:pPr>
    </w:p>
    <w:sectPr>
      <w:footerReference r:id="rId4" w:type="default"/>
      <w:pgSz w:w="11905" w:h="16840"/>
      <w:pgMar w:top="1440" w:right="1800" w:bottom="1440" w:left="180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3 of 9 Barcode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3 of 9 Barcode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C010F"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6449B3">
                          <w:pPr>
                            <w:pStyle w:val="13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D6449B3">
                    <w:pPr>
                      <w:pStyle w:val="13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591C0">
    <w:pPr>
      <w:pStyle w:val="14"/>
      <w:pBdr>
        <w:bottom w:val="single" w:color="auto" w:sz="4" w:space="1"/>
      </w:pBdr>
      <w:jc w:val="right"/>
      <w:rPr>
        <w:rFonts w:hint="eastAsia" w:ascii="宋体" w:hAnsi="宋体" w:eastAsia="宋体" w:cs="宋体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  <w:lang w:val="en-US" w:eastAsia="zh-CN"/>
      </w:rPr>
      <w:t>河南省“三医一张网”数据标准编制说明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3FB4C"/>
    <w:multiLevelType w:val="multilevel"/>
    <w:tmpl w:val="8113FB4C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8C2B2BF7"/>
    <w:multiLevelType w:val="singleLevel"/>
    <w:tmpl w:val="8C2B2BF7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">
    <w:nsid w:val="A2A392F3"/>
    <w:multiLevelType w:val="singleLevel"/>
    <w:tmpl w:val="A2A392F3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3">
    <w:nsid w:val="AA21DDE1"/>
    <w:multiLevelType w:val="singleLevel"/>
    <w:tmpl w:val="AA21DDE1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  <w:sz w:val="24"/>
        <w:szCs w:val="24"/>
      </w:rPr>
    </w:lvl>
  </w:abstractNum>
  <w:abstractNum w:abstractNumId="4">
    <w:nsid w:val="B60EEEE3"/>
    <w:multiLevelType w:val="singleLevel"/>
    <w:tmpl w:val="B60EEEE3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5">
    <w:nsid w:val="CFA26499"/>
    <w:multiLevelType w:val="singleLevel"/>
    <w:tmpl w:val="CFA26499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6">
    <w:nsid w:val="D135FDB2"/>
    <w:multiLevelType w:val="singleLevel"/>
    <w:tmpl w:val="D135FDB2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7">
    <w:nsid w:val="DEA272BD"/>
    <w:multiLevelType w:val="singleLevel"/>
    <w:tmpl w:val="DEA272BD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  <w:sz w:val="24"/>
        <w:szCs w:val="24"/>
      </w:rPr>
    </w:lvl>
  </w:abstractNum>
  <w:abstractNum w:abstractNumId="8">
    <w:nsid w:val="2D137488"/>
    <w:multiLevelType w:val="singleLevel"/>
    <w:tmpl w:val="2D137488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  <w:sz w:val="24"/>
        <w:szCs w:val="24"/>
      </w:rPr>
    </w:lvl>
  </w:abstractNum>
  <w:abstractNum w:abstractNumId="9">
    <w:nsid w:val="49C94D5B"/>
    <w:multiLevelType w:val="singleLevel"/>
    <w:tmpl w:val="49C94D5B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0">
    <w:nsid w:val="5C4053DC"/>
    <w:multiLevelType w:val="singleLevel"/>
    <w:tmpl w:val="5C4053D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1">
    <w:nsid w:val="67B8D134"/>
    <w:multiLevelType w:val="singleLevel"/>
    <w:tmpl w:val="67B8D134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2">
    <w:nsid w:val="7BA2FAE0"/>
    <w:multiLevelType w:val="singleLevel"/>
    <w:tmpl w:val="7BA2FAE0"/>
    <w:lvl w:ilvl="0" w:tentative="0">
      <w:start w:val="1"/>
      <w:numFmt w:val="decimal"/>
      <w:suff w:val="space"/>
      <w:lvlText w:val="(%1)"/>
      <w:lvlJc w:val="left"/>
      <w:pPr>
        <w:ind w:left="0" w:firstLine="482"/>
      </w:pPr>
      <w:rPr>
        <w:rFonts w:hint="default"/>
        <w:sz w:val="24"/>
        <w:szCs w:val="24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7"/>
  </w:num>
  <w:num w:numId="5">
    <w:abstractNumId w:val="11"/>
  </w:num>
  <w:num w:numId="6">
    <w:abstractNumId w:val="3"/>
  </w:num>
  <w:num w:numId="7">
    <w:abstractNumId w:val="10"/>
  </w:num>
  <w:num w:numId="8">
    <w:abstractNumId w:val="4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24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13F"/>
    <w:rsid w:val="00025F2C"/>
    <w:rsid w:val="000B7485"/>
    <w:rsid w:val="000C05B6"/>
    <w:rsid w:val="001066DC"/>
    <w:rsid w:val="001245B7"/>
    <w:rsid w:val="00163908"/>
    <w:rsid w:val="001A66C8"/>
    <w:rsid w:val="001B2DD3"/>
    <w:rsid w:val="001C0C20"/>
    <w:rsid w:val="00251209"/>
    <w:rsid w:val="00355056"/>
    <w:rsid w:val="0039223B"/>
    <w:rsid w:val="003D7273"/>
    <w:rsid w:val="003F0182"/>
    <w:rsid w:val="004C4E39"/>
    <w:rsid w:val="004C5F79"/>
    <w:rsid w:val="00525586"/>
    <w:rsid w:val="006F6770"/>
    <w:rsid w:val="0070169F"/>
    <w:rsid w:val="0075194C"/>
    <w:rsid w:val="00763E17"/>
    <w:rsid w:val="00820E8C"/>
    <w:rsid w:val="00867FFD"/>
    <w:rsid w:val="008F13CA"/>
    <w:rsid w:val="00912BBD"/>
    <w:rsid w:val="0096308A"/>
    <w:rsid w:val="00964028"/>
    <w:rsid w:val="0097413F"/>
    <w:rsid w:val="00991C64"/>
    <w:rsid w:val="009A4FD2"/>
    <w:rsid w:val="009E5F99"/>
    <w:rsid w:val="00A00BD9"/>
    <w:rsid w:val="00A018F7"/>
    <w:rsid w:val="00AA3FBE"/>
    <w:rsid w:val="00AF3D7D"/>
    <w:rsid w:val="00B0648A"/>
    <w:rsid w:val="00B3668B"/>
    <w:rsid w:val="00BD53F2"/>
    <w:rsid w:val="00BF04AF"/>
    <w:rsid w:val="00DC54C4"/>
    <w:rsid w:val="00DF0178"/>
    <w:rsid w:val="00E6446E"/>
    <w:rsid w:val="00ED22E9"/>
    <w:rsid w:val="00EF7F1C"/>
    <w:rsid w:val="00F20CDB"/>
    <w:rsid w:val="00F42EDC"/>
    <w:rsid w:val="00F80087"/>
    <w:rsid w:val="00FE4ABB"/>
    <w:rsid w:val="00FF6505"/>
    <w:rsid w:val="016D6AC7"/>
    <w:rsid w:val="016E3212"/>
    <w:rsid w:val="0192652E"/>
    <w:rsid w:val="01F57359"/>
    <w:rsid w:val="032A4C70"/>
    <w:rsid w:val="0409522D"/>
    <w:rsid w:val="045301F6"/>
    <w:rsid w:val="05120CA5"/>
    <w:rsid w:val="05B67981"/>
    <w:rsid w:val="068A3C77"/>
    <w:rsid w:val="09710ACA"/>
    <w:rsid w:val="09E756F8"/>
    <w:rsid w:val="09E87633"/>
    <w:rsid w:val="0A0E6C7C"/>
    <w:rsid w:val="0A540824"/>
    <w:rsid w:val="0A9332F8"/>
    <w:rsid w:val="0AA479FE"/>
    <w:rsid w:val="0C6E2FA7"/>
    <w:rsid w:val="0D020A0B"/>
    <w:rsid w:val="0D0B75E6"/>
    <w:rsid w:val="0DA970D9"/>
    <w:rsid w:val="0E460DCC"/>
    <w:rsid w:val="0E7B1A14"/>
    <w:rsid w:val="0FC246B3"/>
    <w:rsid w:val="100D1BA1"/>
    <w:rsid w:val="10453175"/>
    <w:rsid w:val="10AC760C"/>
    <w:rsid w:val="10B97633"/>
    <w:rsid w:val="11001706"/>
    <w:rsid w:val="126637EB"/>
    <w:rsid w:val="13284A94"/>
    <w:rsid w:val="13394A5B"/>
    <w:rsid w:val="1360648C"/>
    <w:rsid w:val="137B32C6"/>
    <w:rsid w:val="13B16CE7"/>
    <w:rsid w:val="14665D24"/>
    <w:rsid w:val="15023C9F"/>
    <w:rsid w:val="15253679"/>
    <w:rsid w:val="153C3F19"/>
    <w:rsid w:val="165A3666"/>
    <w:rsid w:val="168F3D98"/>
    <w:rsid w:val="169326D4"/>
    <w:rsid w:val="177D1D5D"/>
    <w:rsid w:val="1A3146DE"/>
    <w:rsid w:val="1B130D20"/>
    <w:rsid w:val="1B1D7F00"/>
    <w:rsid w:val="1B3F1AA6"/>
    <w:rsid w:val="1B650AE3"/>
    <w:rsid w:val="1B682381"/>
    <w:rsid w:val="1B7156DA"/>
    <w:rsid w:val="1B8B6070"/>
    <w:rsid w:val="1C2C7853"/>
    <w:rsid w:val="1C316C17"/>
    <w:rsid w:val="1CC54D7D"/>
    <w:rsid w:val="1CCC127F"/>
    <w:rsid w:val="1CD852E5"/>
    <w:rsid w:val="1D235EA4"/>
    <w:rsid w:val="1DD32D4C"/>
    <w:rsid w:val="1EB07441"/>
    <w:rsid w:val="1EBD18B0"/>
    <w:rsid w:val="1ED53716"/>
    <w:rsid w:val="1EE77A61"/>
    <w:rsid w:val="1F334A54"/>
    <w:rsid w:val="20B83463"/>
    <w:rsid w:val="21EA7433"/>
    <w:rsid w:val="229879F0"/>
    <w:rsid w:val="23BD5235"/>
    <w:rsid w:val="23D749CD"/>
    <w:rsid w:val="24961D0D"/>
    <w:rsid w:val="249E0BC2"/>
    <w:rsid w:val="25156359"/>
    <w:rsid w:val="267941A1"/>
    <w:rsid w:val="27005B64"/>
    <w:rsid w:val="27BA5D13"/>
    <w:rsid w:val="283C7070"/>
    <w:rsid w:val="28AB1AFF"/>
    <w:rsid w:val="29037B8D"/>
    <w:rsid w:val="29235B3A"/>
    <w:rsid w:val="297F65C0"/>
    <w:rsid w:val="2A5A558B"/>
    <w:rsid w:val="2A77613D"/>
    <w:rsid w:val="2A924D25"/>
    <w:rsid w:val="2B4022C2"/>
    <w:rsid w:val="2B6D12EE"/>
    <w:rsid w:val="2B6D7540"/>
    <w:rsid w:val="2C3D5164"/>
    <w:rsid w:val="2C634C18"/>
    <w:rsid w:val="2C8763E0"/>
    <w:rsid w:val="2D8E211C"/>
    <w:rsid w:val="2DB33930"/>
    <w:rsid w:val="2E051CB2"/>
    <w:rsid w:val="2EA27501"/>
    <w:rsid w:val="2F1A79DF"/>
    <w:rsid w:val="2F2E6FE6"/>
    <w:rsid w:val="2FF67B04"/>
    <w:rsid w:val="301D7787"/>
    <w:rsid w:val="305A4537"/>
    <w:rsid w:val="30B67293"/>
    <w:rsid w:val="30F954C5"/>
    <w:rsid w:val="310426F5"/>
    <w:rsid w:val="3134155F"/>
    <w:rsid w:val="32B819E9"/>
    <w:rsid w:val="333D3C9C"/>
    <w:rsid w:val="335039CF"/>
    <w:rsid w:val="335C0D9B"/>
    <w:rsid w:val="3363149A"/>
    <w:rsid w:val="341113B0"/>
    <w:rsid w:val="341449FD"/>
    <w:rsid w:val="35411821"/>
    <w:rsid w:val="35D703D8"/>
    <w:rsid w:val="366C0B20"/>
    <w:rsid w:val="377D6D5D"/>
    <w:rsid w:val="381849E5"/>
    <w:rsid w:val="3825542A"/>
    <w:rsid w:val="385B53B3"/>
    <w:rsid w:val="3986639D"/>
    <w:rsid w:val="3AB94550"/>
    <w:rsid w:val="3B7F4E52"/>
    <w:rsid w:val="3B844B5E"/>
    <w:rsid w:val="3BC44F5A"/>
    <w:rsid w:val="3BE7089C"/>
    <w:rsid w:val="3CB46D7D"/>
    <w:rsid w:val="3CF03B2D"/>
    <w:rsid w:val="3D2832C7"/>
    <w:rsid w:val="3D8A3F82"/>
    <w:rsid w:val="3DC2371B"/>
    <w:rsid w:val="3DEB4A97"/>
    <w:rsid w:val="3E1C10CF"/>
    <w:rsid w:val="3E886713"/>
    <w:rsid w:val="3ED44393"/>
    <w:rsid w:val="3F406FEE"/>
    <w:rsid w:val="403501D5"/>
    <w:rsid w:val="40580367"/>
    <w:rsid w:val="40920FFF"/>
    <w:rsid w:val="40FE2CBD"/>
    <w:rsid w:val="410F789C"/>
    <w:rsid w:val="41FF4F3E"/>
    <w:rsid w:val="43DD2539"/>
    <w:rsid w:val="451E5955"/>
    <w:rsid w:val="459F6FF3"/>
    <w:rsid w:val="45E6744F"/>
    <w:rsid w:val="469F40CF"/>
    <w:rsid w:val="47370CD6"/>
    <w:rsid w:val="48457423"/>
    <w:rsid w:val="48635333"/>
    <w:rsid w:val="495F2766"/>
    <w:rsid w:val="496164DE"/>
    <w:rsid w:val="4A084BAC"/>
    <w:rsid w:val="4A437992"/>
    <w:rsid w:val="4AE27B4B"/>
    <w:rsid w:val="4B0233A9"/>
    <w:rsid w:val="4CBA03DF"/>
    <w:rsid w:val="4CFF2296"/>
    <w:rsid w:val="4E872543"/>
    <w:rsid w:val="4EFA0F67"/>
    <w:rsid w:val="4F194D4E"/>
    <w:rsid w:val="4FCE1B6C"/>
    <w:rsid w:val="50F419E6"/>
    <w:rsid w:val="51C13FBE"/>
    <w:rsid w:val="523D116B"/>
    <w:rsid w:val="52DE294E"/>
    <w:rsid w:val="537961D3"/>
    <w:rsid w:val="53A56FC8"/>
    <w:rsid w:val="53D8739D"/>
    <w:rsid w:val="53FD5056"/>
    <w:rsid w:val="53FE6D5E"/>
    <w:rsid w:val="54B95421"/>
    <w:rsid w:val="54CF1612"/>
    <w:rsid w:val="55346855"/>
    <w:rsid w:val="556574AD"/>
    <w:rsid w:val="55D61440"/>
    <w:rsid w:val="55FB7373"/>
    <w:rsid w:val="56150435"/>
    <w:rsid w:val="5697353F"/>
    <w:rsid w:val="56CF7835"/>
    <w:rsid w:val="571050A0"/>
    <w:rsid w:val="573033CE"/>
    <w:rsid w:val="576D42A0"/>
    <w:rsid w:val="57CE2F91"/>
    <w:rsid w:val="58694A68"/>
    <w:rsid w:val="586C4558"/>
    <w:rsid w:val="58816255"/>
    <w:rsid w:val="593E74E0"/>
    <w:rsid w:val="5A1804F3"/>
    <w:rsid w:val="5AFA22EF"/>
    <w:rsid w:val="5C7B577D"/>
    <w:rsid w:val="5C981DBF"/>
    <w:rsid w:val="5CB10FE2"/>
    <w:rsid w:val="5D156F6C"/>
    <w:rsid w:val="5D414205"/>
    <w:rsid w:val="5D4D686E"/>
    <w:rsid w:val="5D6677C8"/>
    <w:rsid w:val="5E296976"/>
    <w:rsid w:val="5E532442"/>
    <w:rsid w:val="5E734892"/>
    <w:rsid w:val="5EF57055"/>
    <w:rsid w:val="5F6E6E08"/>
    <w:rsid w:val="5F7C1524"/>
    <w:rsid w:val="5F824661"/>
    <w:rsid w:val="5FD2383A"/>
    <w:rsid w:val="5FED6B9F"/>
    <w:rsid w:val="5FEE2B14"/>
    <w:rsid w:val="6017124D"/>
    <w:rsid w:val="6098731A"/>
    <w:rsid w:val="60E16353"/>
    <w:rsid w:val="61BF394A"/>
    <w:rsid w:val="61CF0031"/>
    <w:rsid w:val="61EE7DAC"/>
    <w:rsid w:val="62377985"/>
    <w:rsid w:val="62D603ED"/>
    <w:rsid w:val="632B4088"/>
    <w:rsid w:val="634C3904"/>
    <w:rsid w:val="6372336F"/>
    <w:rsid w:val="639F2CC3"/>
    <w:rsid w:val="648F3AA8"/>
    <w:rsid w:val="657E215B"/>
    <w:rsid w:val="678A67A9"/>
    <w:rsid w:val="67AB0BF9"/>
    <w:rsid w:val="684A4454"/>
    <w:rsid w:val="693427B7"/>
    <w:rsid w:val="69474951"/>
    <w:rsid w:val="69A73642"/>
    <w:rsid w:val="69B06D02"/>
    <w:rsid w:val="6B923E7E"/>
    <w:rsid w:val="6BC24763"/>
    <w:rsid w:val="6BFA79F1"/>
    <w:rsid w:val="6C296590"/>
    <w:rsid w:val="6C47E646"/>
    <w:rsid w:val="6CD56718"/>
    <w:rsid w:val="6DC02F24"/>
    <w:rsid w:val="6E481A15"/>
    <w:rsid w:val="6E490E8B"/>
    <w:rsid w:val="6EF4F77A"/>
    <w:rsid w:val="6FD9427B"/>
    <w:rsid w:val="71E82A49"/>
    <w:rsid w:val="726245AA"/>
    <w:rsid w:val="72714A71"/>
    <w:rsid w:val="738B152D"/>
    <w:rsid w:val="742064CB"/>
    <w:rsid w:val="74687E72"/>
    <w:rsid w:val="74BF7ADB"/>
    <w:rsid w:val="769B20CE"/>
    <w:rsid w:val="771B01F1"/>
    <w:rsid w:val="77560455"/>
    <w:rsid w:val="77AD4E19"/>
    <w:rsid w:val="78016613"/>
    <w:rsid w:val="780879A1"/>
    <w:rsid w:val="78BE62B2"/>
    <w:rsid w:val="78EE649A"/>
    <w:rsid w:val="79254583"/>
    <w:rsid w:val="79A4194C"/>
    <w:rsid w:val="79D33FDF"/>
    <w:rsid w:val="7A035633"/>
    <w:rsid w:val="7A48677B"/>
    <w:rsid w:val="7B2E771F"/>
    <w:rsid w:val="7B486307"/>
    <w:rsid w:val="7BE40725"/>
    <w:rsid w:val="7BE91898"/>
    <w:rsid w:val="7BEC3136"/>
    <w:rsid w:val="7BEDFF76"/>
    <w:rsid w:val="7BF077BA"/>
    <w:rsid w:val="7C290372"/>
    <w:rsid w:val="7CBFB000"/>
    <w:rsid w:val="7D1943FF"/>
    <w:rsid w:val="7D9B2213"/>
    <w:rsid w:val="7DE14F1D"/>
    <w:rsid w:val="7F127358"/>
    <w:rsid w:val="7F395143"/>
    <w:rsid w:val="7F4339B5"/>
    <w:rsid w:val="7F930498"/>
    <w:rsid w:val="7FAE0E2E"/>
    <w:rsid w:val="7FC71EF0"/>
    <w:rsid w:val="7FEDD09E"/>
    <w:rsid w:val="BB7B8743"/>
    <w:rsid w:val="BFF0F47F"/>
    <w:rsid w:val="CDE7FD0E"/>
    <w:rsid w:val="E1772724"/>
    <w:rsid w:val="EE5F8351"/>
    <w:rsid w:val="FE3FA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next w:val="1"/>
    <w:link w:val="27"/>
    <w:qFormat/>
    <w:uiPriority w:val="9"/>
    <w:pPr>
      <w:widowControl w:val="0"/>
      <w:numPr>
        <w:ilvl w:val="0"/>
        <w:numId w:val="1"/>
      </w:numPr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9"/>
    <w:pPr>
      <w:widowControl w:val="0"/>
      <w:numPr>
        <w:ilvl w:val="1"/>
        <w:numId w:val="1"/>
      </w:numPr>
      <w:adjustRightInd w:val="0"/>
      <w:spacing w:before="280" w:line="300" w:lineRule="auto"/>
      <w:ind w:left="575" w:hanging="575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numPr>
        <w:ilvl w:val="2"/>
        <w:numId w:val="1"/>
      </w:numPr>
      <w:adjustRightInd w:val="0"/>
      <w:spacing w:before="240" w:line="300" w:lineRule="auto"/>
      <w:ind w:left="720" w:hanging="720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link w:val="30"/>
    <w:unhideWhenUsed/>
    <w:qFormat/>
    <w:uiPriority w:val="0"/>
    <w:pPr>
      <w:keepNext/>
      <w:keepLines/>
      <w:widowControl w:val="0"/>
      <w:numPr>
        <w:ilvl w:val="3"/>
        <w:numId w:val="1"/>
      </w:numPr>
      <w:adjustRightInd w:val="0"/>
      <w:spacing w:before="200" w:line="300" w:lineRule="auto"/>
      <w:ind w:left="864" w:hanging="864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link w:val="31"/>
    <w:unhideWhenUsed/>
    <w:qFormat/>
    <w:uiPriority w:val="0"/>
    <w:pPr>
      <w:keepNext/>
      <w:keepLines/>
      <w:widowControl w:val="0"/>
      <w:numPr>
        <w:ilvl w:val="4"/>
        <w:numId w:val="1"/>
      </w:numPr>
      <w:adjustRightInd w:val="0"/>
      <w:spacing w:before="160" w:line="300" w:lineRule="auto"/>
      <w:ind w:left="1008" w:hanging="1008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link w:val="32"/>
    <w:unhideWhenUsed/>
    <w:qFormat/>
    <w:uiPriority w:val="0"/>
    <w:pPr>
      <w:keepNext/>
      <w:keepLines/>
      <w:widowControl w:val="0"/>
      <w:numPr>
        <w:ilvl w:val="5"/>
        <w:numId w:val="1"/>
      </w:numPr>
      <w:adjustRightInd w:val="0"/>
      <w:spacing w:before="120" w:line="300" w:lineRule="auto"/>
      <w:ind w:left="1151" w:hanging="1151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link w:val="33"/>
    <w:unhideWhenUsed/>
    <w:qFormat/>
    <w:uiPriority w:val="9"/>
    <w:pPr>
      <w:keepNext/>
      <w:keepLines/>
      <w:widowControl w:val="0"/>
      <w:numPr>
        <w:ilvl w:val="6"/>
        <w:numId w:val="1"/>
      </w:numPr>
      <w:adjustRightInd w:val="0"/>
      <w:spacing w:before="120" w:line="300" w:lineRule="auto"/>
      <w:ind w:left="1296" w:hanging="1296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link w:val="34"/>
    <w:unhideWhenUsed/>
    <w:qFormat/>
    <w:uiPriority w:val="9"/>
    <w:pPr>
      <w:keepNext/>
      <w:keepLines/>
      <w:widowControl w:val="0"/>
      <w:numPr>
        <w:ilvl w:val="7"/>
        <w:numId w:val="1"/>
      </w:numPr>
      <w:adjustRightInd w:val="0"/>
      <w:spacing w:before="120" w:line="300" w:lineRule="auto"/>
      <w:ind w:left="1440" w:hanging="1440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link w:val="35"/>
    <w:unhideWhenUsed/>
    <w:qFormat/>
    <w:uiPriority w:val="9"/>
    <w:pPr>
      <w:keepNext/>
      <w:keepLines/>
      <w:widowControl w:val="0"/>
      <w:numPr>
        <w:ilvl w:val="8"/>
        <w:numId w:val="1"/>
      </w:numPr>
      <w:adjustRightInd w:val="0"/>
      <w:spacing w:before="120" w:line="300" w:lineRule="auto"/>
      <w:ind w:left="1583" w:hanging="1583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toc 3"/>
    <w:basedOn w:val="1"/>
    <w:next w:val="1"/>
    <w:qFormat/>
    <w:uiPriority w:val="39"/>
    <w:pPr>
      <w:ind w:left="840" w:leftChars="4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toc 1"/>
    <w:basedOn w:val="1"/>
    <w:next w:val="1"/>
    <w:qFormat/>
    <w:uiPriority w:val="0"/>
  </w:style>
  <w:style w:type="paragraph" w:styleId="16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7">
    <w:name w:val="toc 2"/>
    <w:basedOn w:val="1"/>
    <w:next w:val="1"/>
    <w:qFormat/>
    <w:uiPriority w:val="39"/>
    <w:pPr>
      <w:ind w:left="420" w:leftChars="200"/>
    </w:pPr>
  </w:style>
  <w:style w:type="paragraph" w:styleId="18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Hyperlink"/>
    <w:basedOn w:val="21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23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4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5">
    <w:name w:val="WPSOffice手动目录 3"/>
    <w:qFormat/>
    <w:uiPriority w:val="0"/>
    <w:pPr>
      <w:ind w:left="400" w:leftChars="400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7">
    <w:name w:val="标题 1 字符"/>
    <w:basedOn w:val="21"/>
    <w:link w:val="2"/>
    <w:qFormat/>
    <w:uiPriority w:val="9"/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character" w:customStyle="1" w:styleId="28">
    <w:name w:val="标题 2 字符"/>
    <w:basedOn w:val="21"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9">
    <w:name w:val="标题 3 字符"/>
    <w:basedOn w:val="21"/>
    <w:qFormat/>
    <w:uiPriority w:val="0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30">
    <w:name w:val="标题 4 字符"/>
    <w:basedOn w:val="21"/>
    <w:link w:val="5"/>
    <w:qFormat/>
    <w:uiPriority w:val="0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31">
    <w:name w:val="标题 5 字符"/>
    <w:basedOn w:val="21"/>
    <w:link w:val="6"/>
    <w:qFormat/>
    <w:uiPriority w:val="0"/>
    <w:rPr>
      <w:rFonts w:ascii="Times New Roman" w:hAnsi="Times New Roman" w:eastAsia="黑体" w:cs="Times New Roman"/>
      <w:bCs/>
      <w:kern w:val="2"/>
      <w:sz w:val="28"/>
      <w:szCs w:val="28"/>
    </w:rPr>
  </w:style>
  <w:style w:type="character" w:customStyle="1" w:styleId="32">
    <w:name w:val="标题 6 字符"/>
    <w:basedOn w:val="21"/>
    <w:link w:val="7"/>
    <w:qFormat/>
    <w:uiPriority w:val="0"/>
    <w:rPr>
      <w:rFonts w:ascii="Times New Roman" w:hAnsi="Times New Roman" w:eastAsia="黑体" w:cs="Times New Roman"/>
      <w:bCs/>
      <w:kern w:val="2"/>
      <w:sz w:val="28"/>
      <w:szCs w:val="24"/>
    </w:rPr>
  </w:style>
  <w:style w:type="character" w:customStyle="1" w:styleId="33">
    <w:name w:val="标题 7 字符"/>
    <w:basedOn w:val="21"/>
    <w:link w:val="8"/>
    <w:qFormat/>
    <w:uiPriority w:val="9"/>
    <w:rPr>
      <w:rFonts w:ascii="Times New Roman" w:hAnsi="Times New Roman" w:eastAsia="黑体" w:cs="Times New Roman"/>
      <w:bCs/>
      <w:kern w:val="2"/>
      <w:sz w:val="24"/>
      <w:szCs w:val="24"/>
    </w:rPr>
  </w:style>
  <w:style w:type="character" w:customStyle="1" w:styleId="34">
    <w:name w:val="标题 8 字符"/>
    <w:basedOn w:val="21"/>
    <w:link w:val="9"/>
    <w:qFormat/>
    <w:uiPriority w:val="9"/>
    <w:rPr>
      <w:rFonts w:ascii="Times New Roman" w:hAnsi="Times New Roman" w:eastAsia="黑体" w:cs="Times New Roman"/>
      <w:kern w:val="2"/>
      <w:sz w:val="24"/>
      <w:szCs w:val="24"/>
    </w:rPr>
  </w:style>
  <w:style w:type="character" w:customStyle="1" w:styleId="35">
    <w:name w:val="标题 9 字符"/>
    <w:basedOn w:val="21"/>
    <w:link w:val="10"/>
    <w:qFormat/>
    <w:uiPriority w:val="9"/>
    <w:rPr>
      <w:rFonts w:ascii="Times New Roman" w:hAnsi="Times New Roman" w:eastAsia="黑体" w:cs="Times New Roman"/>
      <w:kern w:val="2"/>
      <w:sz w:val="21"/>
      <w:szCs w:val="21"/>
    </w:rPr>
  </w:style>
  <w:style w:type="paragraph" w:customStyle="1" w:styleId="36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bidi="ar-SA"/>
    </w:rPr>
  </w:style>
  <w:style w:type="paragraph" w:customStyle="1" w:styleId="37">
    <w:name w:val="章标题"/>
    <w:next w:val="1"/>
    <w:qFormat/>
    <w:uiPriority w:val="0"/>
    <w:pPr>
      <w:widowControl w:val="0"/>
      <w:adjustRightInd w:val="0"/>
      <w:spacing w:before="100" w:after="10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6"/>
      <w:szCs w:val="44"/>
      <w:lang w:bidi="ar-SA"/>
    </w:rPr>
  </w:style>
  <w:style w:type="paragraph" w:customStyle="1" w:styleId="38">
    <w:name w:val="题注1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宋体"/>
      <w:kern w:val="2"/>
      <w:sz w:val="24"/>
      <w:szCs w:val="22"/>
      <w:lang w:bidi="ar-SA"/>
    </w:rPr>
  </w:style>
  <w:style w:type="character" w:customStyle="1" w:styleId="39">
    <w:name w:val="font41"/>
    <w:basedOn w:val="21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40">
    <w:name w:val="font51"/>
    <w:basedOn w:val="21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41">
    <w:name w:val="font71"/>
    <w:basedOn w:val="21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5938</Words>
  <Characters>6852</Characters>
  <Lines>79</Lines>
  <Paragraphs>22</Paragraphs>
  <TotalTime>0</TotalTime>
  <ScaleCrop>false</ScaleCrop>
  <LinksUpToDate>false</LinksUpToDate>
  <CharactersWithSpaces>6972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2026-06-29T13:54:00Z</dcterms:created>
  <dc:creator>Apache POI</dc:creator>
  <cp:lastModifiedBy>huanghe</cp:lastModifiedBy>
  <dcterms:modified xsi:type="dcterms:W3CDTF">2026-07-22T16:25:03Z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{"Label":"1","ContentProducer":"001191110102MACQD9K64010000","ProduceID":"7655949438020455378","ReservedCode1":"","ContentPropagator":"","PropagateID":"","ReservedCode2":""}</vt:lpwstr>
  </property>
  <property fmtid="{D5CDD505-2E9C-101B-9397-08002B2CF9AE}" pid="3" name="KSOTemplateDocerSaveRecord">
    <vt:lpwstr>eyJoZGlkIjoiOWRlOTE1ZmM2YWE5MDc5YWU5YzA4YjA0MjYzYjQzYWUiLCJ1c2VySWQiOiIyNTM5NDc3NTYifQ==</vt:lpwstr>
  </property>
  <property fmtid="{D5CDD505-2E9C-101B-9397-08002B2CF9AE}" pid="4" name="KSOProductBuildVer">
    <vt:lpwstr>2052-12.1.2.25882</vt:lpwstr>
  </property>
  <property fmtid="{D5CDD505-2E9C-101B-9397-08002B2CF9AE}" pid="5" name="ICV">
    <vt:lpwstr>A86A71FABEE62A388E87596A5924E50D_43</vt:lpwstr>
  </property>
</Properties>
</file>